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2"/>
          <w:szCs w:val="12"/>
          <w:b w:val="1"/>
          <w:bCs w:val="1"/>
          <w:color w:val="auto"/>
        </w:rPr>
        <w:t>As filed the Securities and Exchange Commission on May 18, 2026.</w:t>
      </w:r>
    </w:p>
    <w:p>
      <w:pPr>
        <w:spacing w:after="0" w:line="75" w:lineRule="exact"/>
        <w:rPr>
          <w:sz w:val="24"/>
          <w:szCs w:val="24"/>
          <w:color w:val="auto"/>
        </w:rPr>
      </w:pPr>
    </w:p>
    <w:p>
      <w:pPr>
        <w:ind w:left="8360"/>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959485</wp:posOffset>
            </wp:positionH>
            <wp:positionV relativeFrom="paragraph">
              <wp:posOffset>42545</wp:posOffset>
            </wp:positionV>
            <wp:extent cx="524954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9545" cy="63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74930</wp:posOffset>
            </wp:positionV>
            <wp:extent cx="52495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49545" cy="6350"/>
                    </a:xfrm>
                    <a:prstGeom prst="rect">
                      <a:avLst/>
                    </a:prstGeom>
                    <a:noFill/>
                  </pic:spPr>
                </pic:pic>
              </a:graphicData>
            </a:graphic>
          </wp:anchor>
        </w:drawing>
      </w:r>
    </w:p>
    <w:p>
      <w:pPr>
        <w:spacing w:after="0" w:line="1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90170</wp:posOffset>
            </wp:positionV>
            <wp:extent cx="11068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15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97790</wp:posOffset>
            </wp:positionV>
            <wp:extent cx="11068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1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PEPGEN INC.</w:t>
      </w:r>
    </w:p>
    <w:p>
      <w:pPr>
        <w:spacing w:after="0" w:line="2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97155</wp:posOffset>
            </wp:positionV>
            <wp:extent cx="11068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221" w:lineRule="exact"/>
        <w:rPr>
          <w:sz w:val="24"/>
          <w:szCs w:val="24"/>
          <w:color w:val="auto"/>
        </w:rPr>
      </w:pPr>
    </w:p>
    <w:tbl>
      <w:tblPr>
        <w:tblLayout w:type="fixed"/>
        <w:tblInd w:w="2800" w:type="dxa"/>
        <w:tblCellMar>
          <w:top w:w="0" w:type="dxa"/>
          <w:left w:w="0" w:type="dxa"/>
          <w:bottom w:w="0" w:type="dxa"/>
          <w:right w:w="0" w:type="dxa"/>
        </w:tblCellMar>
      </w:tblPr>
      <w:tr>
        <w:trPr>
          <w:trHeight w:val="152"/>
        </w:trPr>
        <w:tc>
          <w:tcPr>
            <w:tcW w:w="2980" w:type="dxa"/>
            <w:vAlign w:val="bottom"/>
          </w:tcPr>
          <w:p>
            <w:pPr>
              <w:jc w:val="center"/>
              <w:ind w:right="131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00" w:type="dxa"/>
            <w:vAlign w:val="bottom"/>
          </w:tcPr>
          <w:p>
            <w:pPr>
              <w:jc w:val="center"/>
              <w:ind w:left="1319"/>
              <w:spacing w:after="0"/>
              <w:rPr>
                <w:sz w:val="20"/>
                <w:szCs w:val="20"/>
                <w:color w:val="auto"/>
              </w:rPr>
            </w:pPr>
            <w:r>
              <w:rPr>
                <w:rFonts w:ascii="Times New Roman" w:cs="Times New Roman" w:eastAsia="Times New Roman" w:hAnsi="Times New Roman"/>
                <w:sz w:val="12"/>
                <w:szCs w:val="12"/>
                <w:b w:val="1"/>
                <w:bCs w:val="1"/>
                <w:color w:val="auto"/>
                <w:w w:val="99"/>
              </w:rPr>
              <w:t>85-3919886</w:t>
            </w:r>
          </w:p>
        </w:tc>
      </w:tr>
      <w:tr>
        <w:trPr>
          <w:trHeight w:val="152"/>
        </w:trPr>
        <w:tc>
          <w:tcPr>
            <w:tcW w:w="2980" w:type="dxa"/>
            <w:vAlign w:val="bottom"/>
          </w:tcPr>
          <w:p>
            <w:pPr>
              <w:jc w:val="center"/>
              <w:ind w:right="1319"/>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600" w:type="dxa"/>
            <w:vAlign w:val="bottom"/>
          </w:tcPr>
          <w:p>
            <w:pPr>
              <w:jc w:val="center"/>
              <w:ind w:left="1339"/>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0"/>
        </w:trPr>
        <w:tc>
          <w:tcPr>
            <w:tcW w:w="2980" w:type="dxa"/>
            <w:vAlign w:val="bottom"/>
          </w:tcPr>
          <w:p>
            <w:pPr>
              <w:jc w:val="center"/>
              <w:ind w:right="1319"/>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600" w:type="dxa"/>
            <w:vAlign w:val="bottom"/>
          </w:tcPr>
          <w:p>
            <w:pPr>
              <w:jc w:val="center"/>
              <w:ind w:left="1319"/>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bl>
    <w:p>
      <w:pPr>
        <w:spacing w:after="0" w:line="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321 Harrison Avenue</w:t>
      </w:r>
    </w:p>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Boston, Massachusetts 02118</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(781) 797-0979</w:t>
      </w:r>
    </w:p>
    <w:p>
      <w:pPr>
        <w:spacing w:after="0" w:line="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90170</wp:posOffset>
            </wp:positionV>
            <wp:extent cx="11068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James McArthur, Ph.D.</w:t>
      </w:r>
    </w:p>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PepGen Inc.</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321 Harrison Avenue, 8th Floor</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Boston, Massachusetts 02118</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(781) 797-0979</w:t>
      </w:r>
    </w:p>
    <w:p>
      <w:pPr>
        <w:spacing w:after="0" w:line="1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83820</wp:posOffset>
            </wp:positionV>
            <wp:extent cx="11068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Edwin O’Connor, Esq.</w:t>
      </w:r>
    </w:p>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Finn Murphy, Esq.</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Jonathan Burr, Esq.</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Goodwin Procter LLP</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620 Eighth Avenue</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New York, NY 10018</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101600</wp:posOffset>
            </wp:positionV>
            <wp:extent cx="11068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198" w:lineRule="exact"/>
        <w:rPr>
          <w:sz w:val="24"/>
          <w:szCs w:val="24"/>
          <w:color w:val="auto"/>
        </w:rPr>
      </w:pPr>
    </w:p>
    <w:p>
      <w:pPr>
        <w:ind w:left="1520" w:right="519"/>
        <w:spacing w:after="0" w:line="287" w:lineRule="auto"/>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r>
        <w:rPr>
          <w:rFonts w:ascii="Times New Roman" w:cs="Times New Roman" w:eastAsia="Times New Roman" w:hAnsi="Times New Roman"/>
          <w:sz w:val="12"/>
          <w:szCs w:val="12"/>
          <w:color w:val="auto"/>
        </w:rPr>
        <w:t>: From time to time or at one time as determined by the Registrant after the effective date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registration statement.</w:t>
      </w:r>
    </w:p>
    <w:p>
      <w:pPr>
        <w:ind w:left="152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91" w:lineRule="exact"/>
        <w:rPr>
          <w:sz w:val="24"/>
          <w:szCs w:val="24"/>
          <w:color w:val="auto"/>
        </w:rPr>
      </w:pPr>
    </w:p>
    <w:p>
      <w:pPr>
        <w:ind w:left="1520" w:right="459"/>
        <w:spacing w:after="0" w:line="166"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25" w:lineRule="exact"/>
        <w:rPr>
          <w:sz w:val="24"/>
          <w:szCs w:val="24"/>
          <w:color w:val="auto"/>
        </w:rPr>
      </w:pPr>
    </w:p>
    <w:p>
      <w:pPr>
        <w:ind w:left="1520" w:right="399"/>
        <w:spacing w:after="0" w:line="166"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5" w:lineRule="exact"/>
        <w:rPr>
          <w:sz w:val="24"/>
          <w:szCs w:val="24"/>
          <w:color w:val="auto"/>
        </w:rPr>
      </w:pPr>
    </w:p>
    <w:p>
      <w:pPr>
        <w:ind w:left="1520" w:right="839"/>
        <w:spacing w:after="0" w:line="16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5" w:lineRule="exact"/>
        <w:rPr>
          <w:sz w:val="24"/>
          <w:szCs w:val="24"/>
          <w:color w:val="auto"/>
        </w:rPr>
      </w:pPr>
    </w:p>
    <w:p>
      <w:pPr>
        <w:ind w:left="1520" w:right="819"/>
        <w:spacing w:after="0" w:line="166"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25" w:lineRule="exact"/>
        <w:rPr>
          <w:sz w:val="24"/>
          <w:szCs w:val="24"/>
          <w:color w:val="auto"/>
        </w:rPr>
      </w:pPr>
    </w:p>
    <w:p>
      <w:pPr>
        <w:ind w:left="1520" w:right="479"/>
        <w:spacing w:after="0" w:line="16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35" w:lineRule="exact"/>
        <w:rPr>
          <w:sz w:val="24"/>
          <w:szCs w:val="24"/>
          <w:color w:val="auto"/>
        </w:rPr>
      </w:pPr>
    </w:p>
    <w:p>
      <w:pPr>
        <w:ind w:left="1520" w:right="419"/>
        <w:spacing w:after="0" w:line="28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520" w:type="dxa"/>
        <w:tblCellMar>
          <w:top w:w="0" w:type="dxa"/>
          <w:left w:w="0" w:type="dxa"/>
          <w:bottom w:w="0" w:type="dxa"/>
          <w:right w:w="0" w:type="dxa"/>
        </w:tblCellMar>
      </w:tblPr>
      <w:tr>
        <w:trPr>
          <w:trHeight w:val="172"/>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7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2"/>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7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5"/>
        </w:trPr>
        <w:tc>
          <w:tcPr>
            <w:tcW w:w="1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4" w:lineRule="exact"/>
        <w:rPr>
          <w:sz w:val="24"/>
          <w:szCs w:val="24"/>
          <w:color w:val="auto"/>
        </w:rPr>
      </w:pPr>
    </w:p>
    <w:p>
      <w:pPr>
        <w:ind w:left="1520" w:right="659"/>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80645</wp:posOffset>
            </wp:positionV>
            <wp:extent cx="11068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185" w:lineRule="exact"/>
        <w:rPr>
          <w:sz w:val="24"/>
          <w:szCs w:val="24"/>
          <w:color w:val="auto"/>
        </w:rPr>
      </w:pPr>
    </w:p>
    <w:p>
      <w:pPr>
        <w:ind w:left="1520" w:right="479"/>
        <w:spacing w:after="0" w:line="274"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959485</wp:posOffset>
            </wp:positionH>
            <wp:positionV relativeFrom="paragraph">
              <wp:posOffset>60960</wp:posOffset>
            </wp:positionV>
            <wp:extent cx="524954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49545" cy="63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93345</wp:posOffset>
            </wp:positionV>
            <wp:extent cx="524954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49545"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92" w:lineRule="exact"/>
        <w:rPr>
          <w:sz w:val="20"/>
          <w:szCs w:val="20"/>
          <w:color w:val="auto"/>
        </w:rPr>
      </w:pPr>
    </w:p>
    <w:p>
      <w:pPr>
        <w:ind w:left="2240" w:right="559" w:hanging="324"/>
        <w:spacing w:after="0" w:line="261" w:lineRule="auto"/>
        <w:tabs>
          <w:tab w:leader="none" w:pos="2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which covers the offering, issuance and sale by the registrant of up to $400,000,000 of the securities identified below, from time to time in one or more offerings; and</w:t>
      </w:r>
    </w:p>
    <w:p>
      <w:pPr>
        <w:spacing w:after="0" w:line="65" w:lineRule="exact"/>
        <w:rPr>
          <w:rFonts w:ascii="Times New Roman" w:cs="Times New Roman" w:eastAsia="Times New Roman" w:hAnsi="Times New Roman"/>
          <w:sz w:val="14"/>
          <w:szCs w:val="14"/>
          <w:color w:val="auto"/>
        </w:rPr>
      </w:pPr>
    </w:p>
    <w:p>
      <w:pPr>
        <w:ind w:left="2240" w:right="759" w:hanging="324"/>
        <w:spacing w:after="0" w:line="313" w:lineRule="auto"/>
        <w:tabs>
          <w:tab w:leader="none" w:pos="22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sales agreement prospectus, which covers the offering, issuance and sale by us of shares of our common stock having an aggregate offering price of up to $100,000,000 that may be issued and sold from time to time under an At-The-Market Equity Offering sales agreement, dated May 18, 2026, or the Sales Agreement, between us and Stifel, Nicolaus &amp; Company, Incorporated, or Stifel.</w:t>
      </w:r>
    </w:p>
    <w:p>
      <w:pPr>
        <w:spacing w:after="0" w:line="108" w:lineRule="exact"/>
        <w:rPr>
          <w:sz w:val="20"/>
          <w:szCs w:val="20"/>
          <w:color w:val="auto"/>
        </w:rPr>
      </w:pPr>
    </w:p>
    <w:p>
      <w:pPr>
        <w:ind w:left="1520" w:right="419"/>
        <w:spacing w:after="0" w:line="261"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will be specified in a prospectus to the base prospectus.</w:t>
      </w:r>
    </w:p>
    <w:p>
      <w:pPr>
        <w:spacing w:after="0" w:line="136" w:lineRule="exact"/>
        <w:rPr>
          <w:sz w:val="20"/>
          <w:szCs w:val="20"/>
          <w:color w:val="auto"/>
        </w:rPr>
      </w:pPr>
    </w:p>
    <w:p>
      <w:pPr>
        <w:ind w:left="1520" w:right="379"/>
        <w:spacing w:after="0" w:line="292" w:lineRule="auto"/>
        <w:rPr>
          <w:sz w:val="20"/>
          <w:szCs w:val="20"/>
          <w:color w:val="auto"/>
        </w:rPr>
      </w:pPr>
      <w:r>
        <w:rPr>
          <w:rFonts w:ascii="Times New Roman" w:cs="Times New Roman" w:eastAsia="Times New Roman" w:hAnsi="Times New Roman"/>
          <w:sz w:val="12"/>
          <w:szCs w:val="12"/>
          <w:color w:val="auto"/>
        </w:rPr>
        <w:t>The sales agreement prospectus immediately follows the base prospectus. The $100,000,000 of shares of the Company’s common stock that may be offered, issued and sold pursuant to the Sales Agreement and under the sales agreement prospectus is included in the $400,000,000 of securities that may be offered, issued and sold by the Company under the base prospectus. Upon termination of the Sales Agreement, any portion of the $100,000,000 included in the sales agreement prospectus that is not sold pursuant to the Sales Agreement will be available for sale in other offerings pursuant to the base prospectus and corresponding prospectus supplements, and if no shares are sold under the Sales Agreement, the full $400,000,000 of securities may be sold in other offerings pursuant to the base prospectus and corresponding prospectus supplements. The specific terms of the securities to be issued and sold under the Sales Agreement are specified in the sales agreement prospectus that immediately follows the base prospectus.</w:t>
      </w:r>
    </w:p>
    <w:p>
      <w:pPr>
        <w:spacing w:after="0" w:line="122" w:lineRule="exact"/>
        <w:rPr>
          <w:sz w:val="20"/>
          <w:szCs w:val="20"/>
          <w:color w:val="auto"/>
        </w:rPr>
      </w:pPr>
    </w:p>
    <w:p>
      <w:pPr>
        <w:ind w:left="1520" w:right="399"/>
        <w:spacing w:after="0" w:line="245" w:lineRule="auto"/>
        <w:rPr>
          <w:sz w:val="20"/>
          <w:szCs w:val="20"/>
          <w:color w:val="auto"/>
        </w:rPr>
      </w:pPr>
      <w:r>
        <w:rPr>
          <w:rFonts w:ascii="Times New Roman" w:cs="Times New Roman" w:eastAsia="Times New Roman" w:hAnsi="Times New Roman"/>
          <w:sz w:val="14"/>
          <w:szCs w:val="14"/>
          <w:color w:val="auto"/>
        </w:rPr>
        <w:t>On August 8, 2023, the Company filed a sales agreement prospectus supplement, or the Prior Sales Agreement Prospectus, covering the offering, issuance and sale of up to a maximum aggregate offering price of $100,000,000 of shares of its common stock that could be issued and sold from time to time under a sales agreement, dated as of August 8, 2023, or the Prior Sales Agreement, with Stifel. As of immediately prior to the filing of this registration statement, $88,474,029.98 of shares of common stock remained available for sale under the Prior Sales Agreement Prospectus. The Sales Agreement replaces the Prior Sales Agreement, and, effective upon the filing of this registration statement, no further sales will be made under the Prior Sales Agreement Prospectus and the Prior Sales Agreement Prospectus will be terminated.</w:t>
      </w:r>
    </w:p>
    <w:p>
      <w:pPr>
        <w:spacing w:after="0" w:line="149" w:lineRule="exact"/>
        <w:rPr>
          <w:sz w:val="20"/>
          <w:szCs w:val="20"/>
          <w:color w:val="auto"/>
        </w:rPr>
      </w:pPr>
    </w:p>
    <w:p>
      <w:pPr>
        <w:ind w:left="1520" w:right="399"/>
        <w:spacing w:after="0" w:line="243" w:lineRule="auto"/>
        <w:rPr>
          <w:sz w:val="20"/>
          <w:szCs w:val="20"/>
          <w:color w:val="auto"/>
        </w:rPr>
      </w:pPr>
      <w:r>
        <w:rPr>
          <w:rFonts w:ascii="Times New Roman" w:cs="Times New Roman" w:eastAsia="Times New Roman" w:hAnsi="Times New Roman"/>
          <w:sz w:val="14"/>
          <w:szCs w:val="14"/>
          <w:color w:val="auto"/>
        </w:rPr>
        <w:t>Pursuant to Rule 415(a)(6), the securities being registered hereunder include an aggregate of $254,918,450.00 of unsold securities, or the Unsold Securities, that remain unsold as of the date hereof consisting of: (i) $119,918,450.00 of unsold securities previously registered by the registrant’s registration statement on Form S-3 (File No. 333-272378), filed with the SEC on June 2, 2023, or the 2023 Form S-3; and (ii) $135,000,000.00 of unsold securities previously registered by the registrant’s registration statement on Form S-3 (File No. 333-280570), filed with the SEC on June 28, 2024, or the 2024 Form S-3, collectively with the 2023 Form S-3, the Prior Registration Statements. The aggregate filing fee paid in connection with such Unsold Securities was $39,631.32.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Statements will be deemed terminated as of the date of effectiveness of this registration statement. If the registrant sells any of the Unsold Securities pursuant to the Prior Registration Statements after the date of the initial filing, and prior to the date of effectiveness, of this registration statement, the registrant will file a pre-effective amendment to this registration statement, which will reduce the number of Unsold Securities included on this registration statement.</w:t>
      </w:r>
    </w:p>
    <w:p>
      <w:pPr>
        <w:spacing w:after="0" w:line="1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Upon the effectiveness of this registration statement, no further offers or sales will be made pursuant the Prior Registration Statements.</w:t>
      </w:r>
    </w:p>
    <w:p>
      <w:pPr>
        <w:sectPr>
          <w:pgSz w:w="11900" w:h="16838" w:orient="portrait"/>
          <w:cols w:equalWidth="0" w:num="1">
            <w:col w:w="10159"/>
          </w:cols>
          <w:pgMar w:left="300" w:top="37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1" w:lineRule="exact"/>
        <w:rPr>
          <w:sz w:val="20"/>
          <w:szCs w:val="20"/>
          <w:color w:val="auto"/>
        </w:rPr>
      </w:pPr>
    </w:p>
    <w:tbl>
      <w:tblPr>
        <w:tblLayout w:type="fixed"/>
        <w:tblInd w:w="1520" w:type="dxa"/>
        <w:tblCellMar>
          <w:top w:w="0" w:type="dxa"/>
          <w:left w:w="0" w:type="dxa"/>
          <w:bottom w:w="0" w:type="dxa"/>
          <w:right w:w="0" w:type="dxa"/>
        </w:tblCellMar>
      </w:tblPr>
      <w:tr>
        <w:trPr>
          <w:trHeight w:val="2854"/>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securities may not be sold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preliminary prospectus is not an offer to sell</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not permitted.</w:t>
            </w:r>
          </w:p>
        </w:tc>
      </w:tr>
      <w:tr>
        <w:trPr>
          <w:trHeight w:val="5890"/>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The information in this preliminary prospectus is not complete and may be changed. These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registration statement filed with the Securities and 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nor does it seek an offer to buy these 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FF4338"/>
        </w:rPr>
        <w:t>SUBJECT TO COMPLETION, DATED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-573405</wp:posOffset>
            </wp:positionV>
            <wp:extent cx="7204710"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127000</wp:posOffset>
            </wp:positionV>
            <wp:extent cx="1158240" cy="392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8240"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17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167640</wp:posOffset>
            </wp:positionV>
            <wp:extent cx="92646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6465" cy="63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1239"/>
        <w:spacing w:after="0" w:line="251" w:lineRule="auto"/>
        <w:rPr>
          <w:sz w:val="20"/>
          <w:szCs w:val="20"/>
          <w:color w:val="auto"/>
        </w:rPr>
      </w:pPr>
      <w:r>
        <w:rPr>
          <w:rFonts w:ascii="Times New Roman" w:cs="Times New Roman" w:eastAsia="Times New Roman" w:hAnsi="Times New Roman"/>
          <w:sz w:val="14"/>
          <w:szCs w:val="14"/>
          <w:color w:val="auto"/>
        </w:rPr>
        <w:t>From time to time, we may offer and sell up to $400,000,000 in aggregate principal amount of our Common Stock, Preferred Stock, Debt Securities, Warrants or Units, in each case in one or more issuances and at prices and on terms that we will determine at the time of the offering.</w:t>
      </w:r>
    </w:p>
    <w:p>
      <w:pPr>
        <w:spacing w:after="0" w:line="143" w:lineRule="exact"/>
        <w:rPr>
          <w:sz w:val="20"/>
          <w:szCs w:val="20"/>
          <w:color w:val="auto"/>
        </w:rPr>
      </w:pPr>
    </w:p>
    <w:p>
      <w:pPr>
        <w:ind w:right="1179"/>
        <w:spacing w:after="0" w:line="313" w:lineRule="auto"/>
        <w:rPr>
          <w:sz w:val="20"/>
          <w:szCs w:val="20"/>
          <w:color w:val="auto"/>
        </w:rPr>
      </w:pPr>
      <w:r>
        <w:rPr>
          <w:rFonts w:ascii="Times New Roman" w:cs="Times New Roman" w:eastAsia="Times New Roman" w:hAnsi="Times New Roman"/>
          <w:sz w:val="12"/>
          <w:szCs w:val="12"/>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08" w:lineRule="exact"/>
        <w:rPr>
          <w:sz w:val="20"/>
          <w:szCs w:val="20"/>
          <w:color w:val="auto"/>
        </w:rPr>
      </w:pPr>
    </w:p>
    <w:p>
      <w:pPr>
        <w:ind w:right="1039"/>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“PEPG.” On May 15, 2026, the closing price of our common stock, as reported on The Nasdaq Global Select Market, was $1.55 per share.</w:t>
      </w:r>
    </w:p>
    <w:p>
      <w:pPr>
        <w:spacing w:after="0" w:line="126" w:lineRule="exact"/>
        <w:rPr>
          <w:sz w:val="20"/>
          <w:szCs w:val="20"/>
          <w:color w:val="auto"/>
        </w:rPr>
      </w:pPr>
    </w:p>
    <w:p>
      <w:pPr>
        <w:ind w:right="1079"/>
        <w:spacing w:after="0" w:line="245"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color w:val="auto"/>
        </w:rPr>
        <w:t>” on page 9 of this prospectus and under any similar heading in the documents that are incorporated by reference into this prospectus, as well as “</w:t>
      </w:r>
      <w:r>
        <w:rPr>
          <w:rFonts w:ascii="Times New Roman" w:cs="Times New Roman" w:eastAsia="Times New Roman" w:hAnsi="Times New Roman"/>
          <w:sz w:val="16"/>
          <w:szCs w:val="16"/>
          <w:b w:val="1"/>
          <w:bCs w:val="1"/>
          <w:i w:val="1"/>
          <w:iCs w:val="1"/>
          <w:color w:val="auto"/>
        </w:rPr>
        <w:t>Special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Note Regarding Forward-Looking Statements</w:t>
      </w:r>
      <w:r>
        <w:rPr>
          <w:rFonts w:ascii="Times New Roman" w:cs="Times New Roman" w:eastAsia="Times New Roman" w:hAnsi="Times New Roman"/>
          <w:sz w:val="16"/>
          <w:szCs w:val="16"/>
          <w:b w:val="1"/>
          <w:bCs w:val="1"/>
          <w:color w:val="auto"/>
        </w:rPr>
        <w:t>” on page 4 of this prospectus. You should read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entire prospectus and any applicable prospectus supplement carefully before you make your investment decision.</w:t>
      </w:r>
    </w:p>
    <w:p>
      <w:pPr>
        <w:spacing w:after="0" w:line="139" w:lineRule="exact"/>
        <w:rPr>
          <w:sz w:val="20"/>
          <w:szCs w:val="20"/>
          <w:color w:val="auto"/>
        </w:rPr>
      </w:pPr>
    </w:p>
    <w:p>
      <w:pPr>
        <w:ind w:right="1139"/>
        <w:spacing w:after="0" w:line="297" w:lineRule="auto"/>
        <w:rPr>
          <w:sz w:val="20"/>
          <w:szCs w:val="20"/>
          <w:color w:val="auto"/>
        </w:rPr>
      </w:pPr>
      <w:r>
        <w:rPr>
          <w:rFonts w:ascii="Times New Roman" w:cs="Times New Roman" w:eastAsia="Times New Roman" w:hAnsi="Times New Roman"/>
          <w:sz w:val="12"/>
          <w:szCs w:val="12"/>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in this prospectus. We will also describe in an applicable prospectus supplement the way(s) in which we expect to use the net proceeds we receive from any sale.</w:t>
      </w:r>
    </w:p>
    <w:p>
      <w:pPr>
        <w:spacing w:after="0" w:line="115" w:lineRule="exact"/>
        <w:rPr>
          <w:sz w:val="20"/>
          <w:szCs w:val="20"/>
          <w:color w:val="auto"/>
        </w:rPr>
      </w:pPr>
    </w:p>
    <w:p>
      <w:pPr>
        <w:ind w:right="1119"/>
        <w:spacing w:after="0" w:line="25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178435</wp:posOffset>
            </wp:positionV>
            <wp:extent cx="9264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6465" cy="63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940" w:space="220"/>
            <w:col w:w="7999"/>
          </w:cols>
          <w:pgMar w:left="300" w:top="37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30"/>
        </w:trPr>
        <w:tc>
          <w:tcPr>
            <w:tcW w:w="800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2"/>
        </w:trPr>
        <w:tc>
          <w:tcPr>
            <w:tcW w:w="8000" w:type="dxa"/>
            <w:vAlign w:val="bottom"/>
            <w:gridSpan w:val="17"/>
            <w:vMerge w:val="continue"/>
          </w:tcPr>
          <w:p>
            <w:pPr>
              <w:spacing w:after="0"/>
              <w:rPr>
                <w:sz w:val="10"/>
                <w:szCs w:val="10"/>
                <w:color w:val="auto"/>
              </w:rPr>
            </w:pPr>
          </w:p>
        </w:tc>
        <w:tc>
          <w:tcPr>
            <w:tcW w:w="2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4"/>
                <w:szCs w:val="14"/>
                <w:color w:val="0000EE"/>
                <w:w w:val="95"/>
              </w:rPr>
              <w:t>WHERE YOU CAN FIND MORE INFORMATION</w:t>
            </w:r>
          </w:p>
        </w:tc>
        <w:tc>
          <w:tcPr>
            <w:tcW w:w="5140" w:type="dxa"/>
            <w:vAlign w:val="bottom"/>
            <w:gridSpan w:val="3"/>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4"/>
                <w:szCs w:val="14"/>
                <w:color w:val="0000EE"/>
                <w:w w:val="94"/>
              </w:rPr>
              <w:t>INCORPORATION OF CERTAIN INFORMATION BY REFERENCE</w:t>
            </w:r>
          </w:p>
        </w:tc>
        <w:tc>
          <w:tcPr>
            <w:tcW w:w="4120" w:type="dxa"/>
            <w:vAlign w:val="bottom"/>
            <w:gridSpan w:val="2"/>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0000EE"/>
            </w:tcBorders>
            <w:gridSpan w:val="16"/>
          </w:tcPr>
          <w:p>
            <w:pPr>
              <w:spacing w:after="0" w:line="142" w:lineRule="exact"/>
              <w:rPr>
                <w:sz w:val="20"/>
                <w:szCs w:val="20"/>
                <w:color w:val="auto"/>
              </w:rPr>
            </w:pPr>
            <w:r>
              <w:rPr>
                <w:rFonts w:ascii="Times New Roman" w:cs="Times New Roman" w:eastAsia="Times New Roman" w:hAnsi="Times New Roman"/>
                <w:sz w:val="14"/>
                <w:szCs w:val="14"/>
                <w:color w:val="0000EE"/>
                <w:w w:val="94"/>
              </w:rPr>
              <w:t>SPECIAL NOTE REGARDING FORWARD-LOOKING STATEMENTS</w:t>
            </w:r>
          </w:p>
        </w:tc>
        <w:tc>
          <w:tcPr>
            <w:tcW w:w="4000" w:type="dxa"/>
            <w:vAlign w:val="bottom"/>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8000" w:type="dxa"/>
            <w:vAlign w:val="bottom"/>
            <w:gridSpan w:val="17"/>
          </w:tcPr>
          <w:p>
            <w:pPr>
              <w:spacing w:after="0" w:line="142" w:lineRule="exact"/>
              <w:rPr>
                <w:sz w:val="20"/>
                <w:szCs w:val="20"/>
                <w:color w:val="auto"/>
              </w:rPr>
            </w:pPr>
            <w:r>
              <w:rPr>
                <w:rFonts w:ascii="Times New Roman" w:cs="Times New Roman" w:eastAsia="Times New Roman" w:hAnsi="Times New Roman"/>
                <w:sz w:val="14"/>
                <w:szCs w:val="14"/>
                <w:color w:val="0000EE"/>
              </w:rPr>
              <w:t>ABOUT THE COMPANY</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2"/>
        </w:trPr>
        <w:tc>
          <w:tcPr>
            <w:tcW w:w="1440" w:type="dxa"/>
            <w:vAlign w:val="bottom"/>
            <w:tcBorders>
              <w:top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EE"/>
              </w:rPr>
              <w:t>RISK FACTORS</w:t>
            </w:r>
          </w:p>
        </w:tc>
        <w:tc>
          <w:tcPr>
            <w:tcW w:w="6560" w:type="dxa"/>
            <w:vAlign w:val="bottom"/>
            <w:gridSpan w:val="11"/>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Borders>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800" w:type="dxa"/>
            <w:vAlign w:val="bottom"/>
            <w:gridSpan w:val="12"/>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118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EE"/>
                <w:w w:val="94"/>
              </w:rPr>
              <w:t>DIVIDEND POLICY</w:t>
            </w:r>
          </w:p>
        </w:tc>
        <w:tc>
          <w:tcPr>
            <w:tcW w:w="6820" w:type="dxa"/>
            <w:vAlign w:val="bottom"/>
            <w:gridSpan w:val="13"/>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0000EE"/>
            </w:tcBorders>
            <w:gridSpan w:val="13"/>
          </w:tcPr>
          <w:p>
            <w:pPr>
              <w:spacing w:after="0" w:line="142" w:lineRule="exact"/>
              <w:rPr>
                <w:sz w:val="20"/>
                <w:szCs w:val="20"/>
                <w:color w:val="auto"/>
              </w:rPr>
            </w:pPr>
            <w:r>
              <w:rPr>
                <w:rFonts w:ascii="Times New Roman" w:cs="Times New Roman" w:eastAsia="Times New Roman" w:hAnsi="Times New Roman"/>
                <w:sz w:val="14"/>
                <w:szCs w:val="14"/>
                <w:color w:val="0000EE"/>
                <w:w w:val="95"/>
              </w:rPr>
              <w:t>GENERAL DESCRIPTION OF SECURITIES</w:t>
            </w:r>
          </w:p>
        </w:tc>
        <w:tc>
          <w:tcPr>
            <w:tcW w:w="5460" w:type="dxa"/>
            <w:vAlign w:val="bottom"/>
            <w:gridSpan w:val="4"/>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2"/>
        </w:trPr>
        <w:tc>
          <w:tcPr>
            <w:tcW w:w="8000" w:type="dxa"/>
            <w:vAlign w:val="bottom"/>
            <w:gridSpan w:val="17"/>
          </w:tcPr>
          <w:p>
            <w:pPr>
              <w:spacing w:after="0" w:line="142"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0000EE"/>
            </w:tcBorders>
            <w:gridSpan w:val="12"/>
          </w:tcPr>
          <w:p>
            <w:pPr>
              <w:spacing w:after="0" w:line="142" w:lineRule="exact"/>
              <w:rPr>
                <w:sz w:val="20"/>
                <w:szCs w:val="20"/>
                <w:color w:val="auto"/>
              </w:rPr>
            </w:pPr>
            <w:r>
              <w:rPr>
                <w:rFonts w:ascii="Times New Roman" w:cs="Times New Roman" w:eastAsia="Times New Roman" w:hAnsi="Times New Roman"/>
                <w:sz w:val="14"/>
                <w:szCs w:val="14"/>
                <w:color w:val="0000EE"/>
                <w:w w:val="95"/>
              </w:rPr>
              <w:t>DESCRIPTION OF DEBT SECURITIES</w:t>
            </w:r>
          </w:p>
        </w:tc>
        <w:tc>
          <w:tcPr>
            <w:tcW w:w="5740" w:type="dxa"/>
            <w:vAlign w:val="bottom"/>
            <w:gridSpan w:val="5"/>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2"/>
        </w:trPr>
        <w:tc>
          <w:tcPr>
            <w:tcW w:w="1860" w:type="dxa"/>
            <w:vAlign w:val="bottom"/>
            <w:tcBorders>
              <w:bottom w:val="single" w:sz="8" w:color="0000EE"/>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EE"/>
                <w:w w:val="94"/>
              </w:rPr>
              <w:t>DESCRIPTION OF WARRANTS</w:t>
            </w:r>
          </w:p>
        </w:tc>
        <w:tc>
          <w:tcPr>
            <w:tcW w:w="6140" w:type="dxa"/>
            <w:vAlign w:val="bottom"/>
            <w:gridSpan w:val="7"/>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8000" w:type="dxa"/>
            <w:vAlign w:val="bottom"/>
            <w:gridSpan w:val="17"/>
          </w:tcPr>
          <w:p>
            <w:pPr>
              <w:spacing w:after="0" w:line="142" w:lineRule="exact"/>
              <w:rPr>
                <w:sz w:val="20"/>
                <w:szCs w:val="20"/>
                <w:color w:val="auto"/>
              </w:rPr>
            </w:pPr>
            <w:r>
              <w:rPr>
                <w:rFonts w:ascii="Times New Roman" w:cs="Times New Roman" w:eastAsia="Times New Roman" w:hAnsi="Times New Roman"/>
                <w:sz w:val="14"/>
                <w:szCs w:val="14"/>
                <w:color w:val="0000EE"/>
              </w:rPr>
              <w:t>DESCRIPTION OF UNITS</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0" w:type="dxa"/>
            <w:vAlign w:val="bottom"/>
            <w:gridSpan w:val="17"/>
          </w:tcPr>
          <w:p>
            <w:pPr>
              <w:spacing w:after="0" w:line="142" w:lineRule="exact"/>
              <w:rPr>
                <w:sz w:val="20"/>
                <w:szCs w:val="20"/>
                <w:color w:val="auto"/>
              </w:rPr>
            </w:pPr>
            <w:r>
              <w:rPr>
                <w:rFonts w:ascii="Times New Roman" w:cs="Times New Roman" w:eastAsia="Times New Roman" w:hAnsi="Times New Roman"/>
                <w:sz w:val="14"/>
                <w:szCs w:val="14"/>
                <w:color w:val="0000EE"/>
              </w:rPr>
              <w:t>PLAN OF DISTRIBUTION</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2"/>
        </w:trPr>
        <w:tc>
          <w:tcPr>
            <w:tcW w:w="1520" w:type="dxa"/>
            <w:vAlign w:val="bottom"/>
            <w:tcBorders>
              <w:top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4"/>
                <w:szCs w:val="14"/>
                <w:color w:val="0000EE"/>
              </w:rPr>
              <w:t>LEGAL MATTERS</w:t>
            </w:r>
          </w:p>
        </w:tc>
        <w:tc>
          <w:tcPr>
            <w:tcW w:w="6480" w:type="dxa"/>
            <w:vAlign w:val="bottom"/>
            <w:gridSpan w:val="9"/>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1080" w:type="dxa"/>
            <w:vAlign w:val="bottom"/>
            <w:tcBorders>
              <w:top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4"/>
                <w:szCs w:val="14"/>
                <w:color w:val="0000EE"/>
              </w:rPr>
              <w:t>EXPERTS</w:t>
            </w:r>
          </w:p>
        </w:tc>
        <w:tc>
          <w:tcPr>
            <w:tcW w:w="6920" w:type="dxa"/>
            <w:vAlign w:val="bottom"/>
            <w:gridSpan w:val="14"/>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520" w:right="419"/>
        <w:spacing w:after="0" w:line="290"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ectPr>
          <w:pgSz w:w="11900" w:h="16838" w:orient="portrait"/>
          <w:cols w:equalWidth="0" w:num="1">
            <w:col w:w="10159"/>
          </w:cols>
          <w:pgMar w:left="300" w:top="37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7" w:lineRule="exact"/>
        <w:rPr>
          <w:sz w:val="20"/>
          <w:szCs w:val="20"/>
          <w:color w:val="auto"/>
        </w:rPr>
      </w:pPr>
    </w:p>
    <w:p>
      <w:pPr>
        <w:ind w:left="1520" w:right="619"/>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have filed with the Securities and Exchange Commission, or the SEC, using a “shelf” registration process.</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Under this process, we may sell the securities described in this prospectus in one or more offerings for an aggregate offering amount of up to</w:t>
      </w:r>
    </w:p>
    <w:p>
      <w:pPr>
        <w:spacing w:after="0" w:line="13" w:lineRule="exact"/>
        <w:rPr>
          <w:sz w:val="20"/>
          <w:szCs w:val="20"/>
          <w:color w:val="auto"/>
        </w:rPr>
      </w:pPr>
    </w:p>
    <w:p>
      <w:pPr>
        <w:ind w:left="1520" w:right="399"/>
        <w:spacing w:after="0" w:line="288" w:lineRule="auto"/>
        <w:rPr>
          <w:sz w:val="20"/>
          <w:szCs w:val="20"/>
          <w:color w:val="auto"/>
        </w:rPr>
      </w:pPr>
      <w:r>
        <w:rPr>
          <w:rFonts w:ascii="Times New Roman" w:cs="Times New Roman" w:eastAsia="Times New Roman" w:hAnsi="Times New Roman"/>
          <w:sz w:val="12"/>
          <w:szCs w:val="12"/>
          <w:color w:val="auto"/>
        </w:rPr>
        <w:t>$400,000,000.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25" w:lineRule="exact"/>
        <w:rPr>
          <w:sz w:val="20"/>
          <w:szCs w:val="20"/>
          <w:color w:val="auto"/>
        </w:rPr>
      </w:pPr>
    </w:p>
    <w:p>
      <w:pPr>
        <w:ind w:left="1520" w:right="379"/>
        <w:spacing w:after="0" w:line="294" w:lineRule="auto"/>
        <w:rPr>
          <w:sz w:val="20"/>
          <w:szCs w:val="20"/>
          <w:color w:val="auto"/>
        </w:rPr>
      </w:pPr>
      <w:r>
        <w:rPr>
          <w:rFonts w:ascii="Times New Roman" w:cs="Times New Roman" w:eastAsia="Times New Roman" w:hAnsi="Times New Roman"/>
          <w:sz w:val="12"/>
          <w:szCs w:val="12"/>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2"/>
          <w:szCs w:val="12"/>
          <w:i w:val="1"/>
          <w:iCs w:val="1"/>
          <w:color w:val="auto"/>
        </w:rPr>
        <w:t>Where You Can Find More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Information” </w:t>
      </w:r>
      <w:r>
        <w:rPr>
          <w:rFonts w:ascii="Times New Roman" w:cs="Times New Roman" w:eastAsia="Times New Roman" w:hAnsi="Times New Roman"/>
          <w:sz w:val="12"/>
          <w:szCs w:val="12"/>
          <w:color w:val="auto"/>
        </w:rPr>
        <w:t>and “</w:t>
      </w:r>
      <w:r>
        <w:rPr>
          <w:rFonts w:ascii="Times New Roman" w:cs="Times New Roman" w:eastAsia="Times New Roman" w:hAnsi="Times New Roman"/>
          <w:sz w:val="12"/>
          <w:szCs w:val="12"/>
          <w:i w:val="1"/>
          <w:iCs w:val="1"/>
          <w:color w:val="auto"/>
        </w:rPr>
        <w:t>Incorporation of Certain Information by Reference</w:t>
      </w:r>
      <w:r>
        <w:rPr>
          <w:rFonts w:ascii="Times New Roman" w:cs="Times New Roman" w:eastAsia="Times New Roman" w:hAnsi="Times New Roman"/>
          <w:sz w:val="12"/>
          <w:szCs w:val="12"/>
          <w:color w:val="auto"/>
        </w:rPr>
        <w:t>” in both this prospectus and the applicable prospectus supplement, and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7" w:lineRule="exact"/>
        <w:rPr>
          <w:sz w:val="20"/>
          <w:szCs w:val="20"/>
          <w:color w:val="auto"/>
        </w:rPr>
      </w:pPr>
    </w:p>
    <w:p>
      <w:pPr>
        <w:ind w:left="1520" w:right="379"/>
        <w:spacing w:after="0" w:line="290"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287" w:lineRule="exact"/>
        <w:rPr>
          <w:sz w:val="20"/>
          <w:szCs w:val="20"/>
          <w:color w:val="auto"/>
        </w:rPr>
      </w:pPr>
    </w:p>
    <w:p>
      <w:pPr>
        <w:jc w:val="both"/>
        <w:ind w:left="1520" w:right="559"/>
        <w:spacing w:after="0" w:line="313" w:lineRule="auto"/>
        <w:rPr>
          <w:sz w:val="20"/>
          <w:szCs w:val="20"/>
          <w:color w:val="auto"/>
        </w:rPr>
      </w:pPr>
      <w:r>
        <w:rPr>
          <w:rFonts w:ascii="Times New Roman" w:cs="Times New Roman" w:eastAsia="Times New Roman" w:hAnsi="Times New Roman"/>
          <w:sz w:val="12"/>
          <w:szCs w:val="12"/>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both"/>
        <w:ind w:left="1520" w:right="479"/>
        <w:spacing w:after="0" w:line="253" w:lineRule="auto"/>
        <w:rPr>
          <w:sz w:val="20"/>
          <w:szCs w:val="20"/>
          <w:color w:val="auto"/>
        </w:rPr>
      </w:pPr>
      <w:r>
        <w:rPr>
          <w:rFonts w:ascii="Times New Roman" w:cs="Times New Roman" w:eastAsia="Times New Roman" w:hAnsi="Times New Roman"/>
          <w:sz w:val="14"/>
          <w:szCs w:val="14"/>
          <w:color w:val="auto"/>
        </w:rPr>
        <w:t xml:space="preserve">We also make these documents available on our website at </w:t>
      </w:r>
      <w:r>
        <w:rPr>
          <w:rFonts w:ascii="Times New Roman" w:cs="Times New Roman" w:eastAsia="Times New Roman" w:hAnsi="Times New Roman"/>
          <w:sz w:val="14"/>
          <w:szCs w:val="14"/>
          <w:i w:val="1"/>
          <w:iCs w:val="1"/>
          <w:color w:val="auto"/>
        </w:rPr>
        <w:t>www.pepgen.com</w:t>
      </w:r>
      <w:r>
        <w:rPr>
          <w:rFonts w:ascii="Times New Roman" w:cs="Times New Roman" w:eastAsia="Times New Roman" w:hAnsi="Times New Roman"/>
          <w:sz w:val="14"/>
          <w:szCs w:val="14"/>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67" w:lineRule="exact"/>
        <w:rPr>
          <w:sz w:val="20"/>
          <w:szCs w:val="20"/>
          <w:color w:val="auto"/>
        </w:rPr>
      </w:pPr>
    </w:p>
    <w:p>
      <w:pPr>
        <w:ind w:left="1520" w:right="439"/>
        <w:spacing w:after="0" w:line="244" w:lineRule="auto"/>
        <w:rPr>
          <w:sz w:val="20"/>
          <w:szCs w:val="20"/>
          <w:color w:val="auto"/>
        </w:rPr>
      </w:pPr>
      <w:r>
        <w:rPr>
          <w:rFonts w:ascii="Times New Roman" w:cs="Times New Roman" w:eastAsia="Times New Roman" w:hAnsi="Times New Roman"/>
          <w:sz w:val="14"/>
          <w:szCs w:val="14"/>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80" w:lineRule="exact"/>
        <w:rPr>
          <w:sz w:val="20"/>
          <w:szCs w:val="20"/>
          <w:color w:val="auto"/>
        </w:rPr>
      </w:pPr>
    </w:p>
    <w:p>
      <w:pPr>
        <w:ind w:left="2240" w:hanging="324"/>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4, 2026;</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29">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12, 2026;</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30">
        <w:r>
          <w:rPr>
            <w:rFonts w:ascii="Times New Roman" w:cs="Times New Roman" w:eastAsia="Times New Roman" w:hAnsi="Times New Roman"/>
            <w:sz w:val="14"/>
            <w:szCs w:val="14"/>
            <w:u w:val="single" w:color="auto"/>
            <w:color w:val="0000EE"/>
          </w:rPr>
          <w:t>March 4, 2026</w:t>
        </w:r>
      </w:hyperlink>
      <w:r>
        <w:rPr>
          <w:rFonts w:ascii="Times New Roman" w:cs="Times New Roman" w:eastAsia="Times New Roman" w:hAnsi="Times New Roman"/>
          <w:sz w:val="14"/>
          <w:szCs w:val="14"/>
          <w:color w:val="auto"/>
        </w:rPr>
        <w:t xml:space="preserve">, and </w:t>
      </w:r>
      <w:hyperlink r:id="rId31">
        <w:r>
          <w:rPr>
            <w:rFonts w:ascii="Times New Roman" w:cs="Times New Roman" w:eastAsia="Times New Roman" w:hAnsi="Times New Roman"/>
            <w:sz w:val="14"/>
            <w:szCs w:val="14"/>
            <w:u w:val="single" w:color="auto"/>
            <w:color w:val="0000EE"/>
          </w:rPr>
          <w:t>March 30, 2026</w:t>
        </w:r>
      </w:hyperlink>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ind w:left="2240" w:right="419" w:hanging="324"/>
        <w:spacing w:after="0" w:line="261" w:lineRule="auto"/>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w:t>
      </w:r>
      <w:hyperlink r:id="rId32">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with the SEC on April 28, 2026, to the extent incorporated by reference into Part III of the Annual Report on </w:t>
      </w:r>
      <w:hyperlink r:id="rId3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and</w:t>
      </w:r>
    </w:p>
    <w:p>
      <w:pPr>
        <w:spacing w:after="0" w:line="65" w:lineRule="exact"/>
        <w:rPr>
          <w:rFonts w:ascii="Times New Roman" w:cs="Times New Roman" w:eastAsia="Times New Roman" w:hAnsi="Times New Roman"/>
          <w:sz w:val="14"/>
          <w:szCs w:val="14"/>
          <w:color w:val="auto"/>
        </w:rPr>
      </w:pPr>
    </w:p>
    <w:p>
      <w:pPr>
        <w:ind w:left="2240" w:right="419" w:hanging="324"/>
        <w:spacing w:after="0" w:line="248" w:lineRule="auto"/>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3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May 3, 2022, and as set forth by the description of the Registrant’s common stock set forth in </w:t>
      </w:r>
      <w:hyperlink r:id="rId35">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Registrant’s Annual Report on Form 10-K for the year ended December 31, 2022, filed with the SEC on March 23, 2023, including any amendments or reports filed for the purpose of updating such description.</w:t>
      </w:r>
    </w:p>
    <w:p>
      <w:pPr>
        <w:spacing w:after="0" w:line="145" w:lineRule="exact"/>
        <w:rPr>
          <w:rFonts w:ascii="Times New Roman" w:cs="Times New Roman" w:eastAsia="Times New Roman" w:hAnsi="Times New Roman"/>
          <w:sz w:val="14"/>
          <w:szCs w:val="14"/>
          <w:color w:val="auto"/>
        </w:rPr>
      </w:pPr>
    </w:p>
    <w:p>
      <w:pPr>
        <w:ind w:left="1520" w:right="439"/>
        <w:spacing w:after="0" w:line="244" w:lineRule="auto"/>
        <w:rPr>
          <w:sz w:val="20"/>
          <w:szCs w:val="20"/>
          <w:color w:val="auto"/>
        </w:rPr>
      </w:pPr>
      <w:r>
        <w:rPr>
          <w:rFonts w:ascii="Times New Roman" w:cs="Times New Roman" w:eastAsia="Times New Roman" w:hAnsi="Times New Roman"/>
          <w:sz w:val="14"/>
          <w:szCs w:val="14"/>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51" w:lineRule="exact"/>
        <w:rPr>
          <w:rFonts w:ascii="Times New Roman" w:cs="Times New Roman" w:eastAsia="Times New Roman" w:hAnsi="Times New Roman"/>
          <w:sz w:val="14"/>
          <w:szCs w:val="14"/>
          <w:color w:val="auto"/>
        </w:rPr>
      </w:pPr>
    </w:p>
    <w:p>
      <w:pPr>
        <w:ind w:left="1520" w:right="399"/>
        <w:spacing w:after="0" w:line="245"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49" w:lineRule="exact"/>
        <w:rPr>
          <w:rFonts w:ascii="Times New Roman" w:cs="Times New Roman" w:eastAsia="Times New Roman" w:hAnsi="Times New Roman"/>
          <w:sz w:val="14"/>
          <w:szCs w:val="14"/>
          <w:color w:val="auto"/>
        </w:rPr>
      </w:pPr>
    </w:p>
    <w:p>
      <w:pPr>
        <w:ind w:left="1520" w:right="619"/>
        <w:spacing w:after="0" w:line="261" w:lineRule="auto"/>
        <w:rPr>
          <w:sz w:val="20"/>
          <w:szCs w:val="20"/>
          <w:color w:val="auto"/>
        </w:rPr>
      </w:pPr>
      <w:r>
        <w:rPr>
          <w:rFonts w:ascii="Times New Roman" w:cs="Times New Roman" w:eastAsia="Times New Roman" w:hAnsi="Times New Roman"/>
          <w:sz w:val="14"/>
          <w:szCs w:val="14"/>
          <w:color w:val="auto"/>
        </w:rPr>
        <w:t>Documents incorporated by reference are available from us without charge, excluding all exhibits unless specifically incorporated by reference as an exhibit to this prospectus and the applicable prospectus supplement.</w:t>
      </w:r>
    </w:p>
    <w:p>
      <w:pPr>
        <w:spacing w:after="0" w:line="136" w:lineRule="exact"/>
        <w:rPr>
          <w:rFonts w:ascii="Times New Roman" w:cs="Times New Roman" w:eastAsia="Times New Roman" w:hAnsi="Times New Roman"/>
          <w:sz w:val="14"/>
          <w:szCs w:val="14"/>
          <w:color w:val="auto"/>
        </w:rPr>
      </w:pPr>
    </w:p>
    <w:p>
      <w:pPr>
        <w:ind w:left="1520" w:right="839"/>
        <w:spacing w:after="0" w:line="261" w:lineRule="auto"/>
        <w:rPr>
          <w:sz w:val="20"/>
          <w:szCs w:val="20"/>
          <w:color w:val="auto"/>
        </w:rPr>
      </w:pPr>
      <w:r>
        <w:rPr>
          <w:rFonts w:ascii="Times New Roman" w:cs="Times New Roman" w:eastAsia="Times New Roman" w:hAnsi="Times New Roman"/>
          <w:sz w:val="14"/>
          <w:szCs w:val="14"/>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3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PepGen Inc.</w:t>
      </w:r>
    </w:p>
    <w:p>
      <w:pPr>
        <w:spacing w:after="0" w:line="1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321 Harrison Avenue, 8th Floor</w:t>
      </w:r>
    </w:p>
    <w:p>
      <w:pPr>
        <w:spacing w:after="0" w:line="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Boston, MA 02118</w:t>
      </w:r>
    </w:p>
    <w:p>
      <w:pPr>
        <w:spacing w:after="0" w:line="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(781) 797-0979</w:t>
      </w:r>
    </w:p>
    <w:p>
      <w:pPr>
        <w:spacing w:after="0" w:line="100" w:lineRule="exact"/>
        <w:rPr>
          <w:rFonts w:ascii="Times New Roman" w:cs="Times New Roman" w:eastAsia="Times New Roman" w:hAnsi="Times New Roman"/>
          <w:sz w:val="14"/>
          <w:szCs w:val="14"/>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7" w:lineRule="exact"/>
        <w:rPr>
          <w:sz w:val="20"/>
          <w:szCs w:val="20"/>
          <w:color w:val="auto"/>
        </w:rPr>
      </w:pPr>
    </w:p>
    <w:p>
      <w:pPr>
        <w:ind w:left="1520" w:right="419"/>
        <w:spacing w:after="0" w:line="243" w:lineRule="auto"/>
        <w:rPr>
          <w:sz w:val="20"/>
          <w:szCs w:val="20"/>
          <w:color w:val="auto"/>
        </w:rPr>
      </w:pPr>
      <w:r>
        <w:rPr>
          <w:rFonts w:ascii="Times New Roman" w:cs="Times New Roman" w:eastAsia="Times New Roman" w:hAnsi="Times New Roman"/>
          <w:sz w:val="14"/>
          <w:szCs w:val="14"/>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include, among other things:</w:t>
      </w:r>
    </w:p>
    <w:p>
      <w:pPr>
        <w:spacing w:after="0" w:line="81" w:lineRule="exact"/>
        <w:rPr>
          <w:sz w:val="20"/>
          <w:szCs w:val="20"/>
          <w:color w:val="auto"/>
        </w:rPr>
      </w:pPr>
    </w:p>
    <w:p>
      <w:pPr>
        <w:ind w:left="2240" w:right="499" w:hanging="324"/>
        <w:spacing w:after="0" w:line="251"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and the period during which the results of our clinical trials will become available;</w:t>
      </w:r>
    </w:p>
    <w:p>
      <w:pPr>
        <w:spacing w:after="0" w:line="7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develop our existing product candidate and discover new product candidates;</w:t>
      </w:r>
    </w:p>
    <w:p>
      <w:pPr>
        <w:spacing w:after="0" w:line="92" w:lineRule="exact"/>
        <w:rPr>
          <w:rFonts w:ascii="Times New Roman" w:cs="Times New Roman" w:eastAsia="Times New Roman" w:hAnsi="Times New Roman"/>
          <w:sz w:val="14"/>
          <w:szCs w:val="14"/>
          <w:color w:val="auto"/>
        </w:rPr>
      </w:pPr>
    </w:p>
    <w:p>
      <w:pPr>
        <w:ind w:left="2240" w:right="459" w:hanging="324"/>
        <w:spacing w:after="0" w:line="261"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manufacture our investigational drug substances and drug product for preclinical use, for clinical trials and on a larger scale for commercial use, if our investigational drug candidate or any new product candidates are approved;</w:t>
      </w:r>
    </w:p>
    <w:p>
      <w:pPr>
        <w:spacing w:after="0" w:line="65" w:lineRule="exact"/>
        <w:rPr>
          <w:rFonts w:ascii="Times New Roman" w:cs="Times New Roman" w:eastAsia="Times New Roman" w:hAnsi="Times New Roman"/>
          <w:sz w:val="14"/>
          <w:szCs w:val="14"/>
          <w:color w:val="auto"/>
        </w:rPr>
      </w:pPr>
    </w:p>
    <w:p>
      <w:pPr>
        <w:ind w:left="2240" w:right="499" w:hanging="324"/>
        <w:spacing w:after="0" w:line="261"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and commercialization of our existing product candidate or future product candidates;</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existing product candidate or future product candidates;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 candidates, if approved;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92" w:lineRule="exact"/>
        <w:rPr>
          <w:rFonts w:ascii="Times New Roman" w:cs="Times New Roman" w:eastAsia="Times New Roman" w:hAnsi="Times New Roman"/>
          <w:sz w:val="14"/>
          <w:szCs w:val="14"/>
          <w:color w:val="auto"/>
        </w:rPr>
      </w:pPr>
    </w:p>
    <w:p>
      <w:pPr>
        <w:ind w:left="2240" w:right="779" w:hanging="324"/>
        <w:spacing w:after="0" w:line="261"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our technology platform;</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or U.S., and foreign countries;</w:t>
      </w:r>
    </w:p>
    <w:p>
      <w:pPr>
        <w:spacing w:after="0" w:line="92" w:lineRule="exact"/>
        <w:rPr>
          <w:rFonts w:ascii="Times New Roman" w:cs="Times New Roman" w:eastAsia="Times New Roman" w:hAnsi="Times New Roman"/>
          <w:sz w:val="14"/>
          <w:szCs w:val="14"/>
          <w:color w:val="auto"/>
        </w:rPr>
      </w:pPr>
    </w:p>
    <w:p>
      <w:pPr>
        <w:ind w:left="2240" w:right="539" w:hanging="324"/>
        <w:spacing w:after="0" w:line="345" w:lineRule="auto"/>
        <w:tabs>
          <w:tab w:leader="none" w:pos="2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contract with third-party suppliers and manufacturers and their ability to perform adequately, and our ability to identify and contract with alternative third-party suppliers and manufacturers in a timely manner and on reasonable terms, if needed;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products or product candidates with advantages in turnaround times or manufacturing cost;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research and development or management personnel;</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or future litigation;</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92" w:lineRule="exact"/>
        <w:rPr>
          <w:rFonts w:ascii="Times New Roman" w:cs="Times New Roman" w:eastAsia="Times New Roman" w:hAnsi="Times New Roman"/>
          <w:sz w:val="14"/>
          <w:szCs w:val="14"/>
          <w:color w:val="auto"/>
        </w:rPr>
      </w:pPr>
    </w:p>
    <w:p>
      <w:pPr>
        <w:ind w:left="2240" w:right="559" w:hanging="324"/>
        <w:spacing w:after="0" w:line="345" w:lineRule="auto"/>
        <w:tabs>
          <w:tab w:leader="none" w:pos="2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any epidemics or pandemics, including mitigation efforts and economic effects, on any of the foregoing or other aspects of our business operations, including but not limited to our preclinical studies and clinical trials and any future studies or trials; and</w:t>
      </w:r>
    </w:p>
    <w:p>
      <w:pPr>
        <w:spacing w:after="0" w:line="18" w:lineRule="exact"/>
        <w:rPr>
          <w:rFonts w:ascii="Times New Roman" w:cs="Times New Roman" w:eastAsia="Times New Roman" w:hAnsi="Times New Roman"/>
          <w:sz w:val="12"/>
          <w:szCs w:val="12"/>
          <w:color w:val="auto"/>
        </w:rPr>
      </w:pPr>
    </w:p>
    <w:p>
      <w:pPr>
        <w:ind w:left="2240" w:hanging="324"/>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“Risk Factors.”</w:t>
      </w:r>
    </w:p>
    <w:p>
      <w:pPr>
        <w:spacing w:after="0" w:line="163" w:lineRule="exact"/>
        <w:rPr>
          <w:sz w:val="20"/>
          <w:szCs w:val="20"/>
          <w:color w:val="auto"/>
        </w:rPr>
      </w:pPr>
    </w:p>
    <w:p>
      <w:pPr>
        <w:ind w:left="1520" w:right="399"/>
        <w:spacing w:after="0" w:line="243" w:lineRule="auto"/>
        <w:rPr>
          <w:sz w:val="20"/>
          <w:szCs w:val="20"/>
          <w:color w:val="auto"/>
        </w:rPr>
      </w:pPr>
      <w:r>
        <w:rPr>
          <w:rFonts w:ascii="Times New Roman" w:cs="Times New Roman" w:eastAsia="Times New Roman" w:hAnsi="Times New Roman"/>
          <w:sz w:val="14"/>
          <w:szCs w:val="14"/>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Market and Industry Data and Estimates</w:t>
      </w:r>
    </w:p>
    <w:p>
      <w:pPr>
        <w:spacing w:after="0" w:line="86" w:lineRule="exact"/>
        <w:rPr>
          <w:sz w:val="20"/>
          <w:szCs w:val="20"/>
          <w:color w:val="auto"/>
        </w:rPr>
      </w:pPr>
    </w:p>
    <w:p>
      <w:pPr>
        <w:ind w:left="1520" w:right="479"/>
        <w:spacing w:after="0" w:line="244" w:lineRule="auto"/>
        <w:rPr>
          <w:sz w:val="20"/>
          <w:szCs w:val="20"/>
          <w:color w:val="auto"/>
        </w:rPr>
      </w:pPr>
      <w:r>
        <w:rPr>
          <w:rFonts w:ascii="Times New Roman" w:cs="Times New Roman" w:eastAsia="Times New Roman" w:hAnsi="Times New Roman"/>
          <w:sz w:val="14"/>
          <w:szCs w:val="14"/>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86" w:lineRule="exact"/>
        <w:rPr>
          <w:sz w:val="20"/>
          <w:szCs w:val="20"/>
          <w:color w:val="auto"/>
        </w:rPr>
      </w:pPr>
    </w:p>
    <w:p>
      <w:pPr>
        <w:ind w:left="1520" w:right="399"/>
        <w:spacing w:after="0" w:line="225" w:lineRule="auto"/>
        <w:rPr>
          <w:sz w:val="20"/>
          <w:szCs w:val="20"/>
          <w:color w:val="auto"/>
        </w:rPr>
      </w:pPr>
      <w:r>
        <w:rPr>
          <w:rFonts w:ascii="Times New Roman" w:cs="Times New Roman" w:eastAsia="Times New Roman" w:hAnsi="Times New Roman"/>
          <w:sz w:val="14"/>
          <w:szCs w:val="14"/>
          <w:color w:val="auto"/>
        </w:rPr>
        <w:t xml:space="preserve">PepGen Inc., the PepGen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or TM symbols, but such references are not intended to indicate, in any way, that we will not assert, to the fullest extent under applicable law, our rights</w:t>
      </w:r>
    </w:p>
    <w:p>
      <w:pPr>
        <w:spacing w:after="0" w:line="1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439"/>
        <w:spacing w:after="0" w:line="248" w:lineRule="auto"/>
        <w:rPr>
          <w:sz w:val="20"/>
          <w:szCs w:val="20"/>
          <w:color w:val="auto"/>
        </w:rPr>
      </w:pPr>
      <w:r>
        <w:rPr>
          <w:rFonts w:ascii="Times New Roman" w:cs="Times New Roman" w:eastAsia="Times New Roman" w:hAnsi="Times New Roman"/>
          <w:sz w:val="14"/>
          <w:szCs w:val="14"/>
          <w:color w:val="auto"/>
        </w:rPr>
        <w:t>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THE COMPANY</w:t>
      </w:r>
    </w:p>
    <w:p>
      <w:pPr>
        <w:spacing w:after="0" w:line="165" w:lineRule="exact"/>
        <w:rPr>
          <w:sz w:val="20"/>
          <w:szCs w:val="20"/>
          <w:color w:val="auto"/>
        </w:rPr>
      </w:pPr>
    </w:p>
    <w:p>
      <w:pPr>
        <w:ind w:left="1520" w:right="37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6" w:lineRule="exact"/>
        <w:rPr>
          <w:sz w:val="20"/>
          <w:szCs w:val="20"/>
          <w:color w:val="auto"/>
        </w:rPr>
      </w:pPr>
    </w:p>
    <w:p>
      <w:pPr>
        <w:ind w:left="1520" w:right="419"/>
        <w:spacing w:after="0" w:line="246" w:lineRule="auto"/>
        <w:rPr>
          <w:sz w:val="20"/>
          <w:szCs w:val="20"/>
          <w:color w:val="auto"/>
        </w:rPr>
      </w:pPr>
      <w:r>
        <w:rPr>
          <w:rFonts w:ascii="Times New Roman" w:cs="Times New Roman" w:eastAsia="Times New Roman" w:hAnsi="Times New Roman"/>
          <w:sz w:val="14"/>
          <w:szCs w:val="14"/>
          <w:color w:val="auto"/>
        </w:rPr>
        <w:t>We are a clinical-stage biotechnology company advancing the next generation of oligonucleotide therapeutics with the goal of transforming the treatment of severe neuromuscular and neurologic diseases. Our proprietary Enhanced Delivery Oligonucleotide, or EDO, platform is founded on over a decade of research and development and leverages cell-penetrating peptides, or CPPs, to improve the uptake and activity of conjugated oligonucleotide therapeutics. Using these EDO peptides, our goal is to develop a research and development pipeline of oligonucleotide therapeutic candidates that are designed to target the root cause of serious diseases.</w:t>
      </w:r>
    </w:p>
    <w:p>
      <w:pPr>
        <w:spacing w:after="0" w:line="148" w:lineRule="exact"/>
        <w:rPr>
          <w:sz w:val="20"/>
          <w:szCs w:val="20"/>
          <w:color w:val="auto"/>
        </w:rPr>
      </w:pPr>
    </w:p>
    <w:p>
      <w:pPr>
        <w:ind w:left="1520" w:right="459"/>
        <w:spacing w:after="0" w:line="246" w:lineRule="auto"/>
        <w:rPr>
          <w:sz w:val="20"/>
          <w:szCs w:val="20"/>
          <w:color w:val="auto"/>
        </w:rPr>
      </w:pPr>
      <w:r>
        <w:rPr>
          <w:rFonts w:ascii="Times New Roman" w:cs="Times New Roman" w:eastAsia="Times New Roman" w:hAnsi="Times New Roman"/>
          <w:sz w:val="14"/>
          <w:szCs w:val="14"/>
          <w:color w:val="auto"/>
        </w:rPr>
        <w:t>We are currently focused on addressing the underlying cause of myotonic dystrophy type 1, or DM1, a multi-systemic neuromuscular disease with high unmet need and no approved therapies. We are developing PGN-EDODM1 for the treatment of DM1 and are utilizing what we believe to be a unique mechanism of action and a different delivery approach compared to other approaches in more advanced stages of clinical development. We have conducted extensive preclinical studies of our product candidate, and these preclinical data form the basis of our clinical development plan for PGN-EDODM1.</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6" w:lineRule="exact"/>
        <w:rPr>
          <w:sz w:val="20"/>
          <w:szCs w:val="20"/>
          <w:color w:val="auto"/>
        </w:rPr>
      </w:pPr>
    </w:p>
    <w:p>
      <w:pPr>
        <w:ind w:left="1520" w:right="559"/>
        <w:spacing w:after="0" w:line="248" w:lineRule="auto"/>
        <w:rPr>
          <w:sz w:val="20"/>
          <w:szCs w:val="20"/>
          <w:color w:val="auto"/>
        </w:rPr>
      </w:pPr>
      <w:r>
        <w:rPr>
          <w:rFonts w:ascii="Times New Roman" w:cs="Times New Roman" w:eastAsia="Times New Roman" w:hAnsi="Times New Roman"/>
          <w:sz w:val="14"/>
          <w:szCs w:val="14"/>
          <w:color w:val="auto"/>
        </w:rPr>
        <w:t>We were initially formed as PepGen Limited on January 25, 2018 in the U.K., and on November 9, 2020, PepGen Limited initiated a corporate reorganization as part of which it formed PepGen Inc. in Delaware. PepGen Limited was dissolved on December 10, 2024. We completed our IPO in May 2022 and became listed on Nasdaq under the ticker symbol “PEPG.” Our principal executive offices are located at 321 Harrison Avenue, Boston MA 02118. Our telephone number is (781) 797-0979.</w:t>
      </w:r>
    </w:p>
    <w:p>
      <w:pPr>
        <w:spacing w:after="0" w:line="145" w:lineRule="exact"/>
        <w:rPr>
          <w:sz w:val="20"/>
          <w:szCs w:val="20"/>
          <w:color w:val="auto"/>
        </w:rPr>
      </w:pPr>
    </w:p>
    <w:p>
      <w:pPr>
        <w:ind w:left="1520" w:right="639"/>
        <w:spacing w:after="0" w:line="248" w:lineRule="auto"/>
        <w:rPr>
          <w:sz w:val="20"/>
          <w:szCs w:val="20"/>
          <w:color w:val="auto"/>
        </w:rPr>
      </w:pPr>
      <w:r>
        <w:rPr>
          <w:rFonts w:ascii="Times New Roman" w:cs="Times New Roman" w:eastAsia="Times New Roman" w:hAnsi="Times New Roman"/>
          <w:sz w:val="14"/>
          <w:szCs w:val="14"/>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520" w:right="519"/>
        <w:spacing w:after="0" w:line="261" w:lineRule="auto"/>
        <w:rPr>
          <w:sz w:val="20"/>
          <w:szCs w:val="20"/>
          <w:color w:val="auto"/>
        </w:rPr>
      </w:pPr>
      <w:r>
        <w:rPr>
          <w:rFonts w:ascii="Times New Roman" w:cs="Times New Roman" w:eastAsia="Times New Roman" w:hAnsi="Times New Roman"/>
          <w:sz w:val="14"/>
          <w:szCs w:val="14"/>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86" w:lineRule="exact"/>
        <w:rPr>
          <w:sz w:val="20"/>
          <w:szCs w:val="20"/>
          <w:color w:val="auto"/>
        </w:rPr>
      </w:pPr>
    </w:p>
    <w:p>
      <w:pPr>
        <w:ind w:left="1520" w:right="619"/>
        <w:spacing w:after="0" w:line="251"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72" w:lineRule="exact"/>
        <w:rPr>
          <w:sz w:val="20"/>
          <w:szCs w:val="20"/>
          <w:color w:val="auto"/>
        </w:rPr>
      </w:pPr>
    </w:p>
    <w:p>
      <w:pPr>
        <w:ind w:left="2240" w:right="699" w:hanging="324"/>
        <w:spacing w:after="0" w:line="251"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7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right="1039" w:hanging="324"/>
        <w:spacing w:after="0" w:line="261" w:lineRule="auto"/>
        <w:tabs>
          <w:tab w:leader="none" w:pos="2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 and</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w:t>
      </w:r>
    </w:p>
    <w:p>
      <w:pPr>
        <w:spacing w:after="0" w:line="163" w:lineRule="exact"/>
        <w:rPr>
          <w:sz w:val="20"/>
          <w:szCs w:val="20"/>
          <w:color w:val="auto"/>
        </w:rPr>
      </w:pPr>
    </w:p>
    <w:p>
      <w:pPr>
        <w:ind w:left="1520" w:right="679"/>
        <w:spacing w:after="0" w:line="289" w:lineRule="auto"/>
        <w:rPr>
          <w:sz w:val="20"/>
          <w:szCs w:val="20"/>
          <w:color w:val="auto"/>
        </w:rPr>
      </w:pPr>
      <w:r>
        <w:rPr>
          <w:rFonts w:ascii="Times New Roman" w:cs="Times New Roman" w:eastAsia="Times New Roman" w:hAnsi="Times New Roman"/>
          <w:sz w:val="12"/>
          <w:szCs w:val="12"/>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2027; (iii) the date on which we have issued more than</w:t>
      </w:r>
    </w:p>
    <w:p>
      <w:pPr>
        <w:ind w:left="1520" w:right="379"/>
        <w:spacing w:after="0" w:line="288" w:lineRule="auto"/>
        <w:rPr>
          <w:sz w:val="20"/>
          <w:szCs w:val="20"/>
          <w:color w:val="auto"/>
        </w:rPr>
      </w:pPr>
      <w:r>
        <w:rPr>
          <w:rFonts w:ascii="Times New Roman" w:cs="Times New Roman" w:eastAsia="Times New Roman" w:hAnsi="Times New Roman"/>
          <w:sz w:val="12"/>
          <w:szCs w:val="12"/>
          <w:color w:val="auto"/>
        </w:rPr>
        <w:t>$1.0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w:t>
      </w:r>
    </w:p>
    <w:p>
      <w:pPr>
        <w:spacing w:after="0" w:line="125" w:lineRule="exact"/>
        <w:rPr>
          <w:sz w:val="20"/>
          <w:szCs w:val="20"/>
          <w:color w:val="auto"/>
        </w:rPr>
      </w:pPr>
    </w:p>
    <w:p>
      <w:pPr>
        <w:ind w:left="1520" w:right="439"/>
        <w:spacing w:after="0" w:line="246"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7" w:lineRule="exact"/>
        <w:rPr>
          <w:sz w:val="20"/>
          <w:szCs w:val="20"/>
          <w:color w:val="auto"/>
        </w:rPr>
      </w:pPr>
    </w:p>
    <w:p>
      <w:pPr>
        <w:ind w:left="1520" w:right="379"/>
        <w:spacing w:after="0" w:line="244" w:lineRule="auto"/>
        <w:rPr>
          <w:sz w:val="20"/>
          <w:szCs w:val="20"/>
          <w:color w:val="auto"/>
        </w:rPr>
      </w:pPr>
      <w:r>
        <w:rPr>
          <w:rFonts w:ascii="Times New Roman" w:cs="Times New Roman" w:eastAsia="Times New Roman" w:hAnsi="Times New Roman"/>
          <w:sz w:val="14"/>
          <w:szCs w:val="14"/>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Annual Report on Form 10-K for the year ended December 31, 2025 filed with the SEC on March 4, 2026, which is incorporated into this prospectus by reference, as updated by our annual or quarterly reports for subsequent fiscal years or fiscal quarters that we file with the SEC and that are so incorporated.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7" w:lineRule="exact"/>
        <w:rPr>
          <w:sz w:val="20"/>
          <w:szCs w:val="20"/>
          <w:color w:val="auto"/>
        </w:rPr>
      </w:pPr>
    </w:p>
    <w:p>
      <w:pPr>
        <w:ind w:left="1520" w:right="539"/>
        <w:spacing w:after="0" w:line="248" w:lineRule="auto"/>
        <w:rPr>
          <w:sz w:val="20"/>
          <w:szCs w:val="20"/>
          <w:color w:val="auto"/>
        </w:rPr>
      </w:pPr>
      <w:r>
        <w:rPr>
          <w:rFonts w:ascii="Times New Roman" w:cs="Times New Roman" w:eastAsia="Times New Roman" w:hAnsi="Times New Roman"/>
          <w:sz w:val="14"/>
          <w:szCs w:val="14"/>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45" w:lineRule="exact"/>
        <w:rPr>
          <w:sz w:val="20"/>
          <w:szCs w:val="20"/>
          <w:color w:val="auto"/>
        </w:rPr>
      </w:pPr>
    </w:p>
    <w:p>
      <w:pPr>
        <w:ind w:left="1520" w:right="539"/>
        <w:spacing w:after="0" w:line="297" w:lineRule="auto"/>
        <w:rPr>
          <w:sz w:val="20"/>
          <w:szCs w:val="20"/>
          <w:color w:val="auto"/>
        </w:rPr>
      </w:pPr>
      <w:r>
        <w:rPr>
          <w:rFonts w:ascii="Times New Roman" w:cs="Times New Roman" w:eastAsia="Times New Roman" w:hAnsi="Times New Roman"/>
          <w:sz w:val="12"/>
          <w:szCs w:val="12"/>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67" w:lineRule="exact"/>
        <w:rPr>
          <w:sz w:val="20"/>
          <w:szCs w:val="20"/>
          <w:color w:val="auto"/>
        </w:rPr>
      </w:pPr>
    </w:p>
    <w:p>
      <w:pPr>
        <w:ind w:left="1520" w:right="659"/>
        <w:spacing w:after="0" w:line="24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GENERAL DESCRIPTION OF SECURITIES</w:t>
      </w:r>
    </w:p>
    <w:p>
      <w:pPr>
        <w:spacing w:after="0" w:line="167"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77" w:lineRule="exact"/>
        <w:rPr>
          <w:sz w:val="20"/>
          <w:szCs w:val="20"/>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dividends or other payments;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w:t>
      </w:r>
    </w:p>
    <w:p>
      <w:pPr>
        <w:spacing w:after="0" w:line="92" w:lineRule="exact"/>
        <w:rPr>
          <w:rFonts w:ascii="Times New Roman" w:cs="Times New Roman" w:eastAsia="Times New Roman" w:hAnsi="Times New Roman"/>
          <w:sz w:val="14"/>
          <w:szCs w:val="14"/>
          <w:color w:val="auto"/>
        </w:rPr>
      </w:pPr>
    </w:p>
    <w:p>
      <w:pPr>
        <w:jc w:val="both"/>
        <w:ind w:left="2240" w:right="479" w:hanging="324"/>
        <w:spacing w:after="0" w:line="345" w:lineRule="auto"/>
        <w:tabs>
          <w:tab w:leader="none" w:pos="22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18" w:lineRule="exact"/>
        <w:rPr>
          <w:rFonts w:ascii="Times New Roman" w:cs="Times New Roman" w:eastAsia="Times New Roman" w:hAnsi="Times New Roman"/>
          <w:sz w:val="12"/>
          <w:szCs w:val="12"/>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listing arrangements; and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U.S. federal income tax considerations.</w:t>
      </w:r>
    </w:p>
    <w:p>
      <w:pPr>
        <w:spacing w:after="0" w:line="163" w:lineRule="exact"/>
        <w:rPr>
          <w:sz w:val="20"/>
          <w:szCs w:val="20"/>
          <w:color w:val="auto"/>
        </w:rPr>
      </w:pPr>
    </w:p>
    <w:p>
      <w:pPr>
        <w:jc w:val="both"/>
        <w:ind w:left="1520" w:right="739"/>
        <w:spacing w:after="0" w:line="251" w:lineRule="auto"/>
        <w:rPr>
          <w:sz w:val="20"/>
          <w:szCs w:val="20"/>
          <w:color w:val="auto"/>
        </w:rPr>
      </w:pPr>
      <w:r>
        <w:rPr>
          <w:rFonts w:ascii="Times New Roman" w:cs="Times New Roman" w:eastAsia="Times New Roman" w:hAnsi="Times New Roman"/>
          <w:sz w:val="14"/>
          <w:szCs w:val="14"/>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43" w:lineRule="exact"/>
        <w:rPr>
          <w:sz w:val="20"/>
          <w:szCs w:val="20"/>
          <w:color w:val="auto"/>
        </w:rPr>
      </w:pPr>
    </w:p>
    <w:p>
      <w:pPr>
        <w:ind w:left="1520" w:right="439"/>
        <w:spacing w:after="0" w:line="246" w:lineRule="auto"/>
        <w:rPr>
          <w:sz w:val="20"/>
          <w:szCs w:val="20"/>
          <w:color w:val="auto"/>
        </w:rPr>
      </w:pPr>
      <w:r>
        <w:rPr>
          <w:rFonts w:ascii="Times New Roman" w:cs="Times New Roman" w:eastAsia="Times New Roman" w:hAnsi="Times New Roman"/>
          <w:sz w:val="14"/>
          <w:szCs w:val="14"/>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48" w:lineRule="exact"/>
        <w:rPr>
          <w:sz w:val="20"/>
          <w:szCs w:val="20"/>
          <w:color w:val="auto"/>
        </w:rPr>
      </w:pPr>
    </w:p>
    <w:p>
      <w:pPr>
        <w:ind w:left="1520" w:right="399"/>
        <w:spacing w:after="0" w:line="248" w:lineRule="auto"/>
        <w:rPr>
          <w:sz w:val="20"/>
          <w:szCs w:val="20"/>
          <w:color w:val="auto"/>
        </w:rPr>
      </w:pPr>
      <w:r>
        <w:rPr>
          <w:rFonts w:ascii="Times New Roman" w:cs="Times New Roman" w:eastAsia="Times New Roman" w:hAnsi="Times New Roman"/>
          <w:sz w:val="14"/>
          <w:szCs w:val="14"/>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More Information</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7" w:lineRule="exact"/>
        <w:rPr>
          <w:sz w:val="20"/>
          <w:szCs w:val="20"/>
          <w:color w:val="auto"/>
        </w:rPr>
      </w:pPr>
    </w:p>
    <w:p>
      <w:pPr>
        <w:ind w:left="1520" w:right="439"/>
        <w:spacing w:after="0" w:line="246" w:lineRule="auto"/>
        <w:rPr>
          <w:sz w:val="20"/>
          <w:szCs w:val="20"/>
          <w:color w:val="auto"/>
        </w:rPr>
      </w:pPr>
      <w:r>
        <w:rPr>
          <w:rFonts w:ascii="Times New Roman" w:cs="Times New Roman" w:eastAsia="Times New Roman" w:hAnsi="Times New Roman"/>
          <w:sz w:val="14"/>
          <w:szCs w:val="14"/>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86" w:lineRule="exact"/>
        <w:rPr>
          <w:sz w:val="20"/>
          <w:szCs w:val="20"/>
          <w:color w:val="auto"/>
        </w:rPr>
      </w:pPr>
    </w:p>
    <w:p>
      <w:pPr>
        <w:ind w:left="1520" w:right="399"/>
        <w:spacing w:after="0" w:line="248" w:lineRule="auto"/>
        <w:rPr>
          <w:sz w:val="20"/>
          <w:szCs w:val="20"/>
          <w:color w:val="auto"/>
        </w:rPr>
      </w:pPr>
      <w:r>
        <w:rPr>
          <w:rFonts w:ascii="Times New Roman" w:cs="Times New Roman" w:eastAsia="Times New Roman" w:hAnsi="Times New Roman"/>
          <w:sz w:val="14"/>
          <w:szCs w:val="14"/>
          <w:color w:val="auto"/>
        </w:rPr>
        <w:t>Our authorized capital stock consists of 500,000,000 shares of common stock, par value $0.0001 per share, and 10,000,000 shares of preferred stock, par value $0.0001 per share, all of which preferred stock is undesignated. As of May 15, 2026, we had 69,169,215 shares of our common stock outstanding and no shares of preferred stock outstanding. Unless our board of directors determines otherwise, we will issue all shares of our capital stock in uncertificated form.</w:t>
      </w:r>
    </w:p>
    <w:p>
      <w:pPr>
        <w:spacing w:after="0" w:line="2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6" w:lineRule="exact"/>
        <w:rPr>
          <w:sz w:val="20"/>
          <w:szCs w:val="20"/>
          <w:color w:val="auto"/>
        </w:rPr>
      </w:pPr>
    </w:p>
    <w:p>
      <w:pPr>
        <w:ind w:left="1520" w:right="539"/>
        <w:spacing w:after="0" w:line="302" w:lineRule="auto"/>
        <w:rPr>
          <w:sz w:val="20"/>
          <w:szCs w:val="20"/>
          <w:color w:val="auto"/>
        </w:rPr>
      </w:pPr>
      <w:r>
        <w:rPr>
          <w:rFonts w:ascii="Times New Roman" w:cs="Times New Roman" w:eastAsia="Times New Roman" w:hAnsi="Times New Roman"/>
          <w:sz w:val="12"/>
          <w:szCs w:val="12"/>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16" w:lineRule="exact"/>
        <w:rPr>
          <w:sz w:val="20"/>
          <w:szCs w:val="20"/>
          <w:color w:val="auto"/>
        </w:rPr>
      </w:pPr>
    </w:p>
    <w:p>
      <w:pPr>
        <w:jc w:val="both"/>
        <w:ind w:left="1520" w:right="679"/>
        <w:spacing w:after="0" w:line="251"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Exchange Listing</w:t>
      </w:r>
    </w:p>
    <w:p>
      <w:pPr>
        <w:spacing w:after="0" w:line="86" w:lineRule="exact"/>
        <w:rPr>
          <w:sz w:val="20"/>
          <w:szCs w:val="20"/>
          <w:color w:val="auto"/>
        </w:rPr>
      </w:pPr>
    </w:p>
    <w:p>
      <w:pPr>
        <w:ind w:left="1520" w:right="419"/>
        <w:spacing w:after="0" w:line="246"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“PEPG.” On May 15, 2026, the closing price for our common stock, as reported on The Nasdaq Global Select Market, was $1.55 per share. As of May 15, 2026, we had approximately 7 stockholders of record.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86" w:lineRule="exact"/>
        <w:rPr>
          <w:sz w:val="20"/>
          <w:szCs w:val="20"/>
          <w:color w:val="auto"/>
        </w:rPr>
      </w:pPr>
    </w:p>
    <w:p>
      <w:pPr>
        <w:ind w:left="1520" w:right="499"/>
        <w:spacing w:after="0" w:line="261"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86" w:lineRule="exact"/>
        <w:rPr>
          <w:sz w:val="20"/>
          <w:szCs w:val="20"/>
          <w:color w:val="auto"/>
        </w:rPr>
      </w:pPr>
    </w:p>
    <w:p>
      <w:pPr>
        <w:ind w:left="1520" w:right="559"/>
        <w:spacing w:after="0" w:line="261"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10,000,000 shares of preferred stock in one or more series and to fix the rights, preferences, privileges and restrictions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419"/>
        <w:spacing w:after="0" w:line="245" w:lineRule="auto"/>
        <w:rPr>
          <w:sz w:val="20"/>
          <w:szCs w:val="20"/>
          <w:color w:val="auto"/>
        </w:rPr>
      </w:pPr>
      <w:r>
        <w:rPr>
          <w:rFonts w:ascii="Times New Roman" w:cs="Times New Roman" w:eastAsia="Times New Roman" w:hAnsi="Times New Roman"/>
          <w:sz w:val="14"/>
          <w:szCs w:val="14"/>
          <w:color w:val="auto"/>
        </w:rPr>
        <w:t>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49" w:lineRule="exact"/>
        <w:rPr>
          <w:sz w:val="20"/>
          <w:szCs w:val="20"/>
          <w:color w:val="auto"/>
        </w:rPr>
      </w:pPr>
    </w:p>
    <w:p>
      <w:pPr>
        <w:jc w:val="both"/>
        <w:ind w:left="1520" w:right="479"/>
        <w:spacing w:after="0" w:line="251" w:lineRule="auto"/>
        <w:rPr>
          <w:sz w:val="20"/>
          <w:szCs w:val="20"/>
          <w:color w:val="auto"/>
        </w:rPr>
      </w:pPr>
      <w:r>
        <w:rPr>
          <w:rFonts w:ascii="Times New Roman" w:cs="Times New Roman" w:eastAsia="Times New Roman" w:hAnsi="Times New Roman"/>
          <w:sz w:val="14"/>
          <w:szCs w:val="14"/>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72" w:lineRule="exact"/>
        <w:rPr>
          <w:sz w:val="20"/>
          <w:szCs w:val="20"/>
          <w:color w:val="auto"/>
        </w:rPr>
      </w:pPr>
    </w:p>
    <w:p>
      <w:pPr>
        <w:ind w:left="2240" w:hanging="324"/>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rights;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rights;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of redemption; and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preferences.</w:t>
      </w:r>
    </w:p>
    <w:p>
      <w:pPr>
        <w:spacing w:after="0" w:line="163" w:lineRule="exact"/>
        <w:rPr>
          <w:sz w:val="20"/>
          <w:szCs w:val="20"/>
          <w:color w:val="auto"/>
        </w:rPr>
      </w:pPr>
    </w:p>
    <w:p>
      <w:pPr>
        <w:ind w:left="1520" w:right="379"/>
        <w:spacing w:after="0" w:line="244" w:lineRule="auto"/>
        <w:rPr>
          <w:sz w:val="20"/>
          <w:szCs w:val="20"/>
          <w:color w:val="auto"/>
        </w:rPr>
      </w:pPr>
      <w:r>
        <w:rPr>
          <w:rFonts w:ascii="Times New Roman" w:cs="Times New Roman" w:eastAsia="Times New Roman" w:hAnsi="Times New Roman"/>
          <w:sz w:val="14"/>
          <w:szCs w:val="14"/>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Additional Series of Preferred Stock</w:t>
      </w:r>
    </w:p>
    <w:p>
      <w:pPr>
        <w:spacing w:after="0" w:line="86" w:lineRule="exact"/>
        <w:rPr>
          <w:sz w:val="20"/>
          <w:szCs w:val="20"/>
          <w:color w:val="auto"/>
        </w:rPr>
      </w:pPr>
    </w:p>
    <w:p>
      <w:pPr>
        <w:ind w:left="1520" w:right="379"/>
        <w:spacing w:after="0" w:line="251" w:lineRule="auto"/>
        <w:rPr>
          <w:sz w:val="20"/>
          <w:szCs w:val="20"/>
          <w:color w:val="auto"/>
        </w:rPr>
      </w:pPr>
      <w:r>
        <w:rPr>
          <w:rFonts w:ascii="Times New Roman" w:cs="Times New Roman" w:eastAsia="Times New Roman" w:hAnsi="Times New Roman"/>
          <w:sz w:val="14"/>
          <w:szCs w:val="14"/>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72" w:lineRule="exact"/>
        <w:rPr>
          <w:sz w:val="20"/>
          <w:szCs w:val="20"/>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authorized;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92" w:lineRule="exact"/>
        <w:rPr>
          <w:rFonts w:ascii="Times New Roman" w:cs="Times New Roman" w:eastAsia="Times New Roman" w:hAnsi="Times New Roman"/>
          <w:sz w:val="14"/>
          <w:szCs w:val="14"/>
          <w:color w:val="auto"/>
        </w:rPr>
      </w:pPr>
    </w:p>
    <w:p>
      <w:pPr>
        <w:ind w:left="2240" w:right="499" w:hanging="324"/>
        <w:spacing w:after="0" w:line="261"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92" w:lineRule="exact"/>
        <w:rPr>
          <w:rFonts w:ascii="Times New Roman" w:cs="Times New Roman" w:eastAsia="Times New Roman" w:hAnsi="Times New Roman"/>
          <w:sz w:val="14"/>
          <w:szCs w:val="14"/>
          <w:color w:val="auto"/>
        </w:rPr>
      </w:pPr>
    </w:p>
    <w:p>
      <w:pPr>
        <w:ind w:left="2240" w:right="979" w:hanging="324"/>
        <w:spacing w:after="0" w:line="261"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and, if applicable, the conversion price, or how it will be calculated, and the conversion period;</w:t>
      </w:r>
    </w:p>
    <w:p>
      <w:pPr>
        <w:spacing w:after="0" w:line="65" w:lineRule="exact"/>
        <w:rPr>
          <w:rFonts w:ascii="Times New Roman" w:cs="Times New Roman" w:eastAsia="Times New Roman" w:hAnsi="Times New Roman"/>
          <w:sz w:val="14"/>
          <w:szCs w:val="14"/>
          <w:color w:val="auto"/>
        </w:rPr>
      </w:pPr>
    </w:p>
    <w:p>
      <w:pPr>
        <w:ind w:left="2240" w:right="559" w:hanging="324"/>
        <w:spacing w:after="0" w:line="261"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United States federal income tax considerations applicable to the preferred stock;</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ranking and preferences of the preferred stock as to dividend rights and rights if we liquidate, dissolve or wind up our affairs;</w:t>
      </w:r>
    </w:p>
    <w:p>
      <w:pPr>
        <w:spacing w:after="0" w:line="115" w:lineRule="exact"/>
        <w:rPr>
          <w:rFonts w:ascii="Times New Roman" w:cs="Times New Roman" w:eastAsia="Times New Roman" w:hAnsi="Times New Roman"/>
          <w:sz w:val="12"/>
          <w:szCs w:val="12"/>
          <w:color w:val="auto"/>
        </w:rPr>
      </w:pPr>
    </w:p>
    <w:p>
      <w:pPr>
        <w:ind w:left="2240" w:right="499" w:hanging="324"/>
        <w:spacing w:after="0" w:line="261"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163" w:lineRule="exact"/>
        <w:rPr>
          <w:sz w:val="20"/>
          <w:szCs w:val="20"/>
          <w:color w:val="auto"/>
        </w:rPr>
      </w:pPr>
    </w:p>
    <w:p>
      <w:pPr>
        <w:ind w:left="1520" w:right="439"/>
        <w:spacing w:after="0" w:line="261" w:lineRule="auto"/>
        <w:rPr>
          <w:sz w:val="20"/>
          <w:szCs w:val="20"/>
          <w:color w:val="auto"/>
        </w:rPr>
      </w:pPr>
      <w:r>
        <w:rPr>
          <w:rFonts w:ascii="Times New Roman" w:cs="Times New Roman" w:eastAsia="Times New Roman" w:hAnsi="Times New Roman"/>
          <w:sz w:val="14"/>
          <w:szCs w:val="14"/>
          <w:color w:val="auto"/>
        </w:rPr>
        <w:t>When we issue shares of preferred stock under this prospectus, the shares will fully be paid and nonassessable and will not be subject to any preemptive or similar rights.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Bylaws and Delaware Law</w:t>
      </w:r>
    </w:p>
    <w:p>
      <w:pPr>
        <w:spacing w:after="0" w:line="86" w:lineRule="exact"/>
        <w:rPr>
          <w:sz w:val="20"/>
          <w:szCs w:val="20"/>
          <w:color w:val="auto"/>
        </w:rPr>
      </w:pPr>
    </w:p>
    <w:p>
      <w:pPr>
        <w:jc w:val="both"/>
        <w:ind w:left="1520" w:right="539"/>
        <w:spacing w:after="0" w:line="251" w:lineRule="auto"/>
        <w:rPr>
          <w:sz w:val="20"/>
          <w:szCs w:val="20"/>
          <w:color w:val="auto"/>
        </w:rPr>
      </w:pPr>
      <w:r>
        <w:rPr>
          <w:rFonts w:ascii="Times New Roman" w:cs="Times New Roman" w:eastAsia="Times New Roman" w:hAnsi="Times New Roman"/>
          <w:sz w:val="14"/>
          <w:szCs w:val="14"/>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 and Filling Vacancies</w:t>
      </w:r>
    </w:p>
    <w:p>
      <w:pPr>
        <w:spacing w:after="0" w:line="86" w:lineRule="exact"/>
        <w:rPr>
          <w:sz w:val="20"/>
          <w:szCs w:val="20"/>
          <w:color w:val="auto"/>
        </w:rPr>
      </w:pPr>
    </w:p>
    <w:p>
      <w:pPr>
        <w:ind w:left="1520" w:right="559"/>
        <w:spacing w:after="0" w:line="294" w:lineRule="auto"/>
        <w:rPr>
          <w:sz w:val="20"/>
          <w:szCs w:val="20"/>
          <w:color w:val="auto"/>
        </w:rPr>
      </w:pPr>
      <w:r>
        <w:rPr>
          <w:rFonts w:ascii="Times New Roman" w:cs="Times New Roman" w:eastAsia="Times New Roman" w:hAnsi="Times New Roman"/>
          <w:sz w:val="12"/>
          <w:szCs w:val="12"/>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No Written Consent of Stockholders</w:t>
      </w:r>
    </w:p>
    <w:p>
      <w:pPr>
        <w:spacing w:after="0" w:line="86" w:lineRule="exact"/>
        <w:rPr>
          <w:sz w:val="20"/>
          <w:szCs w:val="20"/>
          <w:color w:val="auto"/>
        </w:rPr>
      </w:pPr>
    </w:p>
    <w:p>
      <w:pPr>
        <w:ind w:left="1520" w:right="839"/>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provides that all stockholder actions are required to be taken by a vote of the stockholders at an annual or special meeting, and that stockholders may not take any action by written consent in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539"/>
        <w:spacing w:after="0" w:line="261" w:lineRule="auto"/>
        <w:rPr>
          <w:sz w:val="20"/>
          <w:szCs w:val="20"/>
          <w:color w:val="auto"/>
        </w:rPr>
      </w:pPr>
      <w:r>
        <w:rPr>
          <w:rFonts w:ascii="Times New Roman" w:cs="Times New Roman" w:eastAsia="Times New Roman" w:hAnsi="Times New Roman"/>
          <w:sz w:val="14"/>
          <w:szCs w:val="14"/>
          <w:color w:val="auto"/>
        </w:rPr>
        <w:t>lieu of a meeting. This limit may lengthen the amount of time required to take stockholder actions and would prevent the amendment of our bylaws or removal of directors by our stockholders without holding a meeting of stockholders.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Meetings of Stockholders</w:t>
      </w:r>
    </w:p>
    <w:p>
      <w:pPr>
        <w:spacing w:after="0" w:line="86" w:lineRule="exact"/>
        <w:rPr>
          <w:sz w:val="20"/>
          <w:szCs w:val="20"/>
          <w:color w:val="auto"/>
        </w:rPr>
      </w:pPr>
    </w:p>
    <w:p>
      <w:pPr>
        <w:ind w:left="1520" w:right="579"/>
        <w:spacing w:after="0" w:line="248" w:lineRule="auto"/>
        <w:rPr>
          <w:sz w:val="20"/>
          <w:szCs w:val="20"/>
          <w:color w:val="auto"/>
        </w:rPr>
      </w:pPr>
      <w:r>
        <w:rPr>
          <w:rFonts w:ascii="Times New Roman" w:cs="Times New Roman" w:eastAsia="Times New Roman" w:hAnsi="Times New Roman"/>
          <w:sz w:val="14"/>
          <w:szCs w:val="14"/>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w:t>
      </w:r>
    </w:p>
    <w:p>
      <w:pPr>
        <w:spacing w:after="0" w:line="86" w:lineRule="exact"/>
        <w:rPr>
          <w:sz w:val="20"/>
          <w:szCs w:val="20"/>
          <w:color w:val="auto"/>
        </w:rPr>
      </w:pPr>
    </w:p>
    <w:p>
      <w:pPr>
        <w:ind w:left="1520" w:right="419"/>
        <w:spacing w:after="0" w:line="245" w:lineRule="auto"/>
        <w:rPr>
          <w:sz w:val="20"/>
          <w:szCs w:val="20"/>
          <w:color w:val="auto"/>
        </w:rPr>
      </w:pPr>
      <w:r>
        <w:rPr>
          <w:rFonts w:ascii="Times New Roman" w:cs="Times New Roman" w:eastAsia="Times New Roman" w:hAnsi="Times New Roman"/>
          <w:sz w:val="14"/>
          <w:szCs w:val="14"/>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86" w:lineRule="exact"/>
        <w:rPr>
          <w:sz w:val="20"/>
          <w:szCs w:val="20"/>
          <w:color w:val="auto"/>
        </w:rPr>
      </w:pPr>
    </w:p>
    <w:p>
      <w:pPr>
        <w:ind w:left="1520" w:right="419"/>
        <w:spacing w:after="0" w:line="243" w:lineRule="auto"/>
        <w:rPr>
          <w:sz w:val="20"/>
          <w:szCs w:val="20"/>
          <w:color w:val="auto"/>
        </w:rPr>
      </w:pPr>
      <w:r>
        <w:rPr>
          <w:rFonts w:ascii="Times New Roman" w:cs="Times New Roman" w:eastAsia="Times New Roman" w:hAnsi="Times New Roman"/>
          <w:sz w:val="14"/>
          <w:szCs w:val="14"/>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86" w:lineRule="exact"/>
        <w:rPr>
          <w:sz w:val="20"/>
          <w:szCs w:val="20"/>
          <w:color w:val="auto"/>
        </w:rPr>
      </w:pPr>
    </w:p>
    <w:p>
      <w:pPr>
        <w:ind w:left="1520" w:right="439"/>
        <w:spacing w:after="0" w:line="24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 (4) 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439"/>
        <w:spacing w:after="0" w:line="246" w:lineRule="auto"/>
        <w:rPr>
          <w:sz w:val="20"/>
          <w:szCs w:val="20"/>
          <w:color w:val="auto"/>
        </w:rPr>
      </w:pPr>
      <w:r>
        <w:rPr>
          <w:rFonts w:ascii="Times New Roman" w:cs="Times New Roman" w:eastAsia="Times New Roman" w:hAnsi="Times New Roman"/>
          <w:sz w:val="14"/>
          <w:szCs w:val="14"/>
          <w:color w:val="auto"/>
        </w:rPr>
        <w:t>forum for resolving any complaint asserting a cause of action under the Securities Act, or the Federal Forum Provision.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86" w:lineRule="exact"/>
        <w:rPr>
          <w:sz w:val="20"/>
          <w:szCs w:val="20"/>
          <w:color w:val="auto"/>
        </w:rPr>
      </w:pPr>
    </w:p>
    <w:p>
      <w:pPr>
        <w:ind w:left="1520" w:right="459"/>
        <w:spacing w:after="0" w:line="248"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4" w:lineRule="exact"/>
        <w:rPr>
          <w:sz w:val="20"/>
          <w:szCs w:val="20"/>
          <w:color w:val="auto"/>
        </w:rPr>
      </w:pPr>
    </w:p>
    <w:p>
      <w:pPr>
        <w:ind w:left="2240" w:right="399" w:hanging="324"/>
        <w:spacing w:after="0" w:line="261" w:lineRule="auto"/>
        <w:tabs>
          <w:tab w:leader="none" w:pos="2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our board of directors approved either the business combination or the transaction which resulted in the stockholder becoming an interested stockholder;</w:t>
      </w:r>
    </w:p>
    <w:p>
      <w:pPr>
        <w:spacing w:after="0" w:line="65" w:lineRule="exact"/>
        <w:rPr>
          <w:rFonts w:ascii="Times New Roman" w:cs="Times New Roman" w:eastAsia="Times New Roman" w:hAnsi="Times New Roman"/>
          <w:sz w:val="14"/>
          <w:szCs w:val="14"/>
          <w:color w:val="auto"/>
        </w:rPr>
      </w:pPr>
    </w:p>
    <w:p>
      <w:pPr>
        <w:ind w:left="2240" w:right="439" w:hanging="324"/>
        <w:spacing w:after="0" w:line="248" w:lineRule="auto"/>
        <w:tabs>
          <w:tab w:leader="none" w:pos="2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4" w:lineRule="exact"/>
        <w:rPr>
          <w:rFonts w:ascii="Times New Roman" w:cs="Times New Roman" w:eastAsia="Times New Roman" w:hAnsi="Times New Roman"/>
          <w:sz w:val="14"/>
          <w:szCs w:val="14"/>
          <w:color w:val="auto"/>
        </w:rPr>
      </w:pPr>
    </w:p>
    <w:p>
      <w:pPr>
        <w:jc w:val="both"/>
        <w:ind w:left="2240" w:right="499" w:hanging="324"/>
        <w:spacing w:after="0" w:line="251" w:lineRule="auto"/>
        <w:tabs>
          <w:tab w:leader="none" w:pos="2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4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92" w:lineRule="exact"/>
        <w:rPr>
          <w:sz w:val="20"/>
          <w:szCs w:val="20"/>
          <w:color w:val="auto"/>
        </w:rPr>
      </w:pPr>
    </w:p>
    <w:p>
      <w:pPr>
        <w:ind w:left="2240" w:hanging="324"/>
        <w:spacing w:after="0"/>
        <w:tabs>
          <w:tab w:leader="none" w:pos="2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transfer, lease, pledge or other disposition involving the interested stockholder of 10% or more of the assets of the corporation;</w:t>
      </w:r>
    </w:p>
    <w:p>
      <w:pPr>
        <w:spacing w:after="0" w:line="115" w:lineRule="exact"/>
        <w:rPr>
          <w:rFonts w:ascii="Times New Roman" w:cs="Times New Roman" w:eastAsia="Times New Roman" w:hAnsi="Times New Roman"/>
          <w:sz w:val="12"/>
          <w:szCs w:val="12"/>
          <w:color w:val="auto"/>
        </w:rPr>
      </w:pPr>
    </w:p>
    <w:p>
      <w:pPr>
        <w:ind w:left="2240" w:right="799" w:hanging="324"/>
        <w:spacing w:after="0" w:line="261" w:lineRule="auto"/>
        <w:tabs>
          <w:tab w:leader="none" w:pos="2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w:t>
      </w:r>
    </w:p>
    <w:p>
      <w:pPr>
        <w:spacing w:after="0" w:line="65" w:lineRule="exact"/>
        <w:rPr>
          <w:rFonts w:ascii="Times New Roman" w:cs="Times New Roman" w:eastAsia="Times New Roman" w:hAnsi="Times New Roman"/>
          <w:sz w:val="14"/>
          <w:szCs w:val="14"/>
          <w:color w:val="auto"/>
        </w:rPr>
      </w:pPr>
    </w:p>
    <w:p>
      <w:pPr>
        <w:ind w:left="2240" w:right="459" w:hanging="324"/>
        <w:spacing w:after="0" w:line="261" w:lineRule="auto"/>
        <w:tabs>
          <w:tab w:leader="none" w:pos="2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5" w:lineRule="exact"/>
        <w:rPr>
          <w:rFonts w:ascii="Times New Roman" w:cs="Times New Roman" w:eastAsia="Times New Roman" w:hAnsi="Times New Roman"/>
          <w:sz w:val="14"/>
          <w:szCs w:val="14"/>
          <w:color w:val="auto"/>
        </w:rPr>
      </w:pPr>
    </w:p>
    <w:p>
      <w:pPr>
        <w:ind w:left="2240" w:right="479" w:hanging="324"/>
        <w:spacing w:after="0" w:line="261" w:lineRule="auto"/>
        <w:tabs>
          <w:tab w:leader="none" w:pos="2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36" w:lineRule="exact"/>
        <w:rPr>
          <w:sz w:val="20"/>
          <w:szCs w:val="20"/>
          <w:color w:val="auto"/>
        </w:rPr>
      </w:pPr>
    </w:p>
    <w:p>
      <w:pPr>
        <w:ind w:left="1520" w:right="439"/>
        <w:spacing w:after="0" w:line="261"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7" w:lineRule="exact"/>
        <w:rPr>
          <w:sz w:val="20"/>
          <w:szCs w:val="20"/>
          <w:color w:val="auto"/>
        </w:rPr>
      </w:pPr>
    </w:p>
    <w:p>
      <w:pPr>
        <w:ind w:left="1520" w:right="419"/>
        <w:spacing w:after="0" w:line="244"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51" w:lineRule="exact"/>
        <w:rPr>
          <w:sz w:val="20"/>
          <w:szCs w:val="20"/>
          <w:color w:val="auto"/>
        </w:rPr>
      </w:pPr>
    </w:p>
    <w:p>
      <w:pPr>
        <w:ind w:left="1520" w:right="379"/>
        <w:spacing w:after="0" w:line="246" w:lineRule="auto"/>
        <w:rPr>
          <w:sz w:val="20"/>
          <w:szCs w:val="20"/>
          <w:color w:val="auto"/>
        </w:rPr>
      </w:pPr>
      <w:r>
        <w:rPr>
          <w:rFonts w:ascii="Times New Roman" w:cs="Times New Roman" w:eastAsia="Times New Roman" w:hAnsi="Times New Roman"/>
          <w:sz w:val="14"/>
          <w:szCs w:val="14"/>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8" w:lineRule="exact"/>
        <w:rPr>
          <w:sz w:val="20"/>
          <w:szCs w:val="20"/>
          <w:color w:val="auto"/>
        </w:rPr>
      </w:pPr>
    </w:p>
    <w:p>
      <w:pPr>
        <w:ind w:left="1520" w:right="639"/>
        <w:spacing w:after="0" w:line="261" w:lineRule="auto"/>
        <w:rPr>
          <w:sz w:val="20"/>
          <w:szCs w:val="20"/>
          <w:color w:val="auto"/>
        </w:rPr>
      </w:pPr>
      <w:r>
        <w:rPr>
          <w:rFonts w:ascii="Times New Roman" w:cs="Times New Roman" w:eastAsia="Times New Roman" w:hAnsi="Times New Roman"/>
          <w:sz w:val="14"/>
          <w:szCs w:val="14"/>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36"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color w:val="auto"/>
        </w:rPr>
        <w:t>We will describe in the applicable prospectus supplement or free writing prospectus the terms of the series of debt securities being offered, including:</w:t>
      </w:r>
    </w:p>
    <w:p>
      <w:pPr>
        <w:spacing w:after="0" w:line="115" w:lineRule="exact"/>
        <w:rPr>
          <w:sz w:val="20"/>
          <w:szCs w:val="20"/>
          <w:color w:val="auto"/>
        </w:rPr>
      </w:pPr>
    </w:p>
    <w:p>
      <w:pPr>
        <w:ind w:left="2240" w:hanging="324"/>
        <w:spacing w:after="0"/>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being offered, and if a series, the total amount authorized and the total amount outstanding;</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amount that may be issued;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we will issue the series of debt securities in global form, and, if so, the terms and who the depository will be;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92" w:lineRule="exact"/>
        <w:rPr>
          <w:rFonts w:ascii="Times New Roman" w:cs="Times New Roman" w:eastAsia="Times New Roman" w:hAnsi="Times New Roman"/>
          <w:sz w:val="14"/>
          <w:szCs w:val="14"/>
          <w:color w:val="auto"/>
        </w:rPr>
      </w:pPr>
    </w:p>
    <w:p>
      <w:pPr>
        <w:ind w:left="2240" w:right="459" w:hanging="324"/>
        <w:spacing w:after="0" w:line="261" w:lineRule="auto"/>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5" w:lineRule="exact"/>
        <w:rPr>
          <w:rFonts w:ascii="Times New Roman" w:cs="Times New Roman" w:eastAsia="Times New Roman" w:hAnsi="Times New Roman"/>
          <w:sz w:val="14"/>
          <w:szCs w:val="14"/>
          <w:color w:val="auto"/>
        </w:rPr>
      </w:pPr>
    </w:p>
    <w:p>
      <w:pPr>
        <w:ind w:left="2240" w:right="559" w:hanging="324"/>
        <w:spacing w:after="0" w:line="345" w:lineRule="auto"/>
        <w:tabs>
          <w:tab w:leader="none" w:pos="2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subordinated debt;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payments will be payable;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2" w:lineRule="exact"/>
        <w:rPr>
          <w:rFonts w:ascii="Times New Roman" w:cs="Times New Roman" w:eastAsia="Times New Roman" w:hAnsi="Times New Roman"/>
          <w:sz w:val="14"/>
          <w:szCs w:val="14"/>
          <w:color w:val="auto"/>
        </w:rPr>
      </w:pPr>
    </w:p>
    <w:p>
      <w:pPr>
        <w:ind w:left="2240" w:right="499" w:hanging="324"/>
        <w:spacing w:after="0" w:line="261" w:lineRule="auto"/>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5" w:lineRule="exact"/>
        <w:rPr>
          <w:rFonts w:ascii="Times New Roman" w:cs="Times New Roman" w:eastAsia="Times New Roman" w:hAnsi="Times New Roman"/>
          <w:sz w:val="14"/>
          <w:szCs w:val="14"/>
          <w:color w:val="auto"/>
        </w:rPr>
      </w:pPr>
    </w:p>
    <w:p>
      <w:pPr>
        <w:jc w:val="both"/>
        <w:ind w:left="2240" w:right="399" w:hanging="324"/>
        <w:spacing w:after="0" w:line="251" w:lineRule="auto"/>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restrict our ability to:</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additional securities;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or make distributions in respect of our capital stock or the capital stock of our subsidiaries;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capital stock;</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restrictions on our subsidiaries’ ability to pay dividends, make distributions or transfer assets;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 other restricted payments;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sale-leaseback transactions;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with stockholders or affiliates;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or sell stock of our subsidiaries;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 consolidation or merger;</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indenture will require us to maintain any interest coverage, fixed charge, cash flow-based, asset-based or other financial ratios;</w:t>
      </w:r>
    </w:p>
    <w:p>
      <w:pPr>
        <w:spacing w:after="0" w:line="115" w:lineRule="exact"/>
        <w:rPr>
          <w:rFonts w:ascii="Times New Roman" w:cs="Times New Roman" w:eastAsia="Times New Roman" w:hAnsi="Times New Roman"/>
          <w:sz w:val="12"/>
          <w:szCs w:val="12"/>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material or special United States federal income tax considerations applicable to the debt securities;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describing any book-entry features;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 sinking fund purchase or other analogous fund, if any;</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the provisions in the indenture on discharge;</w:t>
      </w:r>
    </w:p>
    <w:p>
      <w:pPr>
        <w:spacing w:after="0" w:line="92" w:lineRule="exact"/>
        <w:rPr>
          <w:rFonts w:ascii="Times New Roman" w:cs="Times New Roman" w:eastAsia="Times New Roman" w:hAnsi="Times New Roman"/>
          <w:sz w:val="14"/>
          <w:szCs w:val="14"/>
          <w:color w:val="auto"/>
        </w:rPr>
      </w:pPr>
    </w:p>
    <w:p>
      <w:pPr>
        <w:ind w:left="2240" w:right="419" w:hanging="324"/>
        <w:spacing w:after="0" w:line="261" w:lineRule="auto"/>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5" w:lineRule="exact"/>
        <w:rPr>
          <w:rFonts w:ascii="Times New Roman" w:cs="Times New Roman" w:eastAsia="Times New Roman" w:hAnsi="Times New Roman"/>
          <w:sz w:val="14"/>
          <w:szCs w:val="14"/>
          <w:color w:val="auto"/>
        </w:rPr>
      </w:pPr>
    </w:p>
    <w:p>
      <w:pPr>
        <w:ind w:left="2240" w:right="699" w:hanging="324"/>
        <w:spacing w:after="0" w:line="261" w:lineRule="auto"/>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65" w:lineRule="exact"/>
        <w:rPr>
          <w:rFonts w:ascii="Times New Roman" w:cs="Times New Roman" w:eastAsia="Times New Roman" w:hAnsi="Times New Roman"/>
          <w:sz w:val="14"/>
          <w:szCs w:val="14"/>
          <w:color w:val="auto"/>
        </w:rPr>
      </w:pPr>
    </w:p>
    <w:p>
      <w:pPr>
        <w:ind w:left="2240" w:right="499" w:hanging="324"/>
        <w:spacing w:after="0" w:line="261" w:lineRule="auto"/>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and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right="559" w:hanging="324"/>
        <w:spacing w:after="0" w:line="251" w:lineRule="auto"/>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86" w:lineRule="exact"/>
        <w:rPr>
          <w:sz w:val="20"/>
          <w:szCs w:val="20"/>
          <w:color w:val="auto"/>
        </w:rPr>
      </w:pPr>
    </w:p>
    <w:p>
      <w:pPr>
        <w:ind w:left="1520" w:right="499"/>
        <w:spacing w:after="0" w:line="246" w:lineRule="auto"/>
        <w:rPr>
          <w:sz w:val="20"/>
          <w:szCs w:val="20"/>
          <w:color w:val="auto"/>
        </w:rPr>
      </w:pPr>
      <w:r>
        <w:rPr>
          <w:rFonts w:ascii="Times New Roman" w:cs="Times New Roman" w:eastAsia="Times New Roman" w:hAnsi="Times New Roman"/>
          <w:sz w:val="14"/>
          <w:szCs w:val="14"/>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86" w:lineRule="exact"/>
        <w:rPr>
          <w:sz w:val="20"/>
          <w:szCs w:val="20"/>
          <w:color w:val="auto"/>
        </w:rPr>
      </w:pPr>
    </w:p>
    <w:p>
      <w:pPr>
        <w:ind w:left="1520" w:right="499"/>
        <w:spacing w:after="0" w:line="294" w:lineRule="auto"/>
        <w:rPr>
          <w:sz w:val="20"/>
          <w:szCs w:val="20"/>
          <w:color w:val="auto"/>
        </w:rPr>
      </w:pPr>
      <w:r>
        <w:rPr>
          <w:rFonts w:ascii="Times New Roman" w:cs="Times New Roman" w:eastAsia="Times New Roman" w:hAnsi="Times New Roman"/>
          <w:sz w:val="12"/>
          <w:szCs w:val="12"/>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86" w:lineRule="exact"/>
        <w:rPr>
          <w:sz w:val="20"/>
          <w:szCs w:val="20"/>
          <w:color w:val="auto"/>
        </w:rPr>
      </w:pPr>
    </w:p>
    <w:p>
      <w:pPr>
        <w:ind w:left="1520" w:right="399"/>
        <w:spacing w:after="0" w:line="261" w:lineRule="auto"/>
        <w:rPr>
          <w:sz w:val="20"/>
          <w:szCs w:val="20"/>
          <w:color w:val="auto"/>
        </w:rPr>
      </w:pPr>
      <w:r>
        <w:rPr>
          <w:rFonts w:ascii="Times New Roman" w:cs="Times New Roman" w:eastAsia="Times New Roman" w:hAnsi="Times New Roman"/>
          <w:sz w:val="14"/>
          <w:szCs w:val="14"/>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5" w:lineRule="exact"/>
        <w:rPr>
          <w:sz w:val="20"/>
          <w:szCs w:val="20"/>
          <w:color w:val="auto"/>
        </w:rPr>
      </w:pPr>
    </w:p>
    <w:p>
      <w:pPr>
        <w:ind w:left="2240" w:hanging="324"/>
        <w:spacing w:after="0"/>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interest when due and payable and our failure continues for 90 days and the time for payment has not been extended;</w:t>
      </w:r>
    </w:p>
    <w:p>
      <w:pPr>
        <w:spacing w:after="0" w:line="92" w:lineRule="exact"/>
        <w:rPr>
          <w:rFonts w:ascii="Times New Roman" w:cs="Times New Roman" w:eastAsia="Times New Roman" w:hAnsi="Times New Roman"/>
          <w:sz w:val="14"/>
          <w:szCs w:val="14"/>
          <w:color w:val="auto"/>
        </w:rPr>
      </w:pPr>
    </w:p>
    <w:p>
      <w:pPr>
        <w:ind w:left="2240" w:right="439" w:hanging="324"/>
        <w:spacing w:after="0" w:line="261" w:lineRule="auto"/>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premium or sinking fund payment, if any, when due and payable at maturity, upon redemption or repurchase or otherwise, and the time for payment has not been extended;</w:t>
      </w:r>
    </w:p>
    <w:p>
      <w:pPr>
        <w:spacing w:after="0" w:line="65" w:lineRule="exact"/>
        <w:rPr>
          <w:rFonts w:ascii="Times New Roman" w:cs="Times New Roman" w:eastAsia="Times New Roman" w:hAnsi="Times New Roman"/>
          <w:sz w:val="14"/>
          <w:szCs w:val="14"/>
          <w:color w:val="auto"/>
        </w:rPr>
      </w:pPr>
    </w:p>
    <w:p>
      <w:pPr>
        <w:ind w:left="2240" w:right="579" w:hanging="324"/>
        <w:spacing w:after="0" w:line="251" w:lineRule="auto"/>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7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63" w:lineRule="exact"/>
        <w:rPr>
          <w:sz w:val="20"/>
          <w:szCs w:val="20"/>
          <w:color w:val="auto"/>
        </w:rPr>
      </w:pPr>
    </w:p>
    <w:p>
      <w:pPr>
        <w:ind w:left="1520" w:right="559"/>
        <w:spacing w:after="0" w:line="261" w:lineRule="auto"/>
        <w:rPr>
          <w:sz w:val="20"/>
          <w:szCs w:val="20"/>
          <w:color w:val="auto"/>
        </w:rPr>
      </w:pPr>
      <w:r>
        <w:rPr>
          <w:rFonts w:ascii="Times New Roman" w:cs="Times New Roman" w:eastAsia="Times New Roman" w:hAnsi="Times New Roman"/>
          <w:sz w:val="14"/>
          <w:szCs w:val="14"/>
          <w:color w:val="auto"/>
        </w:rPr>
        <w:t>We will describe in each applicable prospectus supplement or free writing prospectus any additional events of default relating to the relevant series of debt securities.</w:t>
      </w:r>
    </w:p>
    <w:p>
      <w:pPr>
        <w:spacing w:after="0" w:line="136" w:lineRule="exact"/>
        <w:rPr>
          <w:sz w:val="20"/>
          <w:szCs w:val="20"/>
          <w:color w:val="auto"/>
        </w:rPr>
      </w:pPr>
    </w:p>
    <w:p>
      <w:pPr>
        <w:ind w:left="1520" w:right="419"/>
        <w:spacing w:after="0" w:line="245"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619"/>
        <w:spacing w:after="0" w:line="313" w:lineRule="auto"/>
        <w:rPr>
          <w:sz w:val="20"/>
          <w:szCs w:val="20"/>
          <w:color w:val="auto"/>
        </w:rPr>
      </w:pPr>
      <w:r>
        <w:rPr>
          <w:rFonts w:ascii="Times New Roman" w:cs="Times New Roman" w:eastAsia="Times New Roman" w:hAnsi="Times New Roman"/>
          <w:sz w:val="12"/>
          <w:szCs w:val="12"/>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08" w:lineRule="exact"/>
        <w:rPr>
          <w:sz w:val="20"/>
          <w:szCs w:val="20"/>
          <w:color w:val="auto"/>
        </w:rPr>
      </w:pPr>
    </w:p>
    <w:p>
      <w:pPr>
        <w:ind w:left="1520" w:right="399"/>
        <w:spacing w:after="0" w:line="245" w:lineRule="auto"/>
        <w:rPr>
          <w:sz w:val="20"/>
          <w:szCs w:val="20"/>
          <w:color w:val="auto"/>
        </w:rPr>
      </w:pPr>
      <w:r>
        <w:rPr>
          <w:rFonts w:ascii="Times New Roman" w:cs="Times New Roman" w:eastAsia="Times New Roman" w:hAnsi="Times New Roman"/>
          <w:sz w:val="14"/>
          <w:szCs w:val="14"/>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8" w:lineRule="exact"/>
        <w:rPr>
          <w:sz w:val="20"/>
          <w:szCs w:val="20"/>
          <w:color w:val="auto"/>
        </w:rPr>
      </w:pPr>
    </w:p>
    <w:p>
      <w:pPr>
        <w:ind w:left="2240" w:hanging="324"/>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2" w:lineRule="exact"/>
        <w:rPr>
          <w:rFonts w:ascii="Times New Roman" w:cs="Times New Roman" w:eastAsia="Times New Roman" w:hAnsi="Times New Roman"/>
          <w:sz w:val="14"/>
          <w:szCs w:val="14"/>
          <w:color w:val="auto"/>
        </w:rPr>
      </w:pPr>
    </w:p>
    <w:p>
      <w:pPr>
        <w:ind w:left="2240" w:right="399" w:hanging="324"/>
        <w:spacing w:after="0" w:line="261" w:lineRule="auto"/>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36" w:lineRule="exact"/>
        <w:rPr>
          <w:sz w:val="20"/>
          <w:szCs w:val="20"/>
          <w:color w:val="auto"/>
        </w:rPr>
      </w:pPr>
    </w:p>
    <w:p>
      <w:pPr>
        <w:ind w:left="1520" w:right="399"/>
        <w:spacing w:after="0" w:line="261"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indentures or to appoint a receiver or trustee, or to seek other remedies if:</w:t>
      </w:r>
    </w:p>
    <w:p>
      <w:pPr>
        <w:spacing w:after="0" w:line="65" w:lineRule="exact"/>
        <w:rPr>
          <w:sz w:val="20"/>
          <w:szCs w:val="20"/>
          <w:color w:val="auto"/>
        </w:rPr>
      </w:pPr>
    </w:p>
    <w:p>
      <w:pPr>
        <w:ind w:left="2240" w:hanging="324"/>
        <w:spacing w:after="0"/>
        <w:tabs>
          <w:tab w:leader="none" w:pos="2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2" w:lineRule="exact"/>
        <w:rPr>
          <w:rFonts w:ascii="Times New Roman" w:cs="Times New Roman" w:eastAsia="Times New Roman" w:hAnsi="Times New Roman"/>
          <w:sz w:val="14"/>
          <w:szCs w:val="14"/>
          <w:color w:val="auto"/>
        </w:rPr>
      </w:pPr>
    </w:p>
    <w:p>
      <w:pPr>
        <w:ind w:left="2240" w:right="579" w:hanging="324"/>
        <w:spacing w:after="0" w:line="251" w:lineRule="auto"/>
        <w:tabs>
          <w:tab w:leader="none" w:pos="2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72" w:lineRule="exact"/>
        <w:rPr>
          <w:rFonts w:ascii="Times New Roman" w:cs="Times New Roman" w:eastAsia="Times New Roman" w:hAnsi="Times New Roman"/>
          <w:sz w:val="14"/>
          <w:szCs w:val="14"/>
          <w:color w:val="auto"/>
        </w:rPr>
      </w:pPr>
    </w:p>
    <w:p>
      <w:pPr>
        <w:ind w:left="2240" w:right="739" w:hanging="324"/>
        <w:spacing w:after="0" w:line="261" w:lineRule="auto"/>
        <w:tabs>
          <w:tab w:leader="none" w:pos="2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6" w:lineRule="exact"/>
        <w:rPr>
          <w:sz w:val="20"/>
          <w:szCs w:val="20"/>
          <w:color w:val="auto"/>
        </w:rPr>
      </w:pPr>
    </w:p>
    <w:p>
      <w:pPr>
        <w:ind w:left="1520" w:right="459"/>
        <w:spacing w:after="0" w:line="261"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indentures.</w:t>
      </w:r>
    </w:p>
    <w:p>
      <w:pPr>
        <w:spacing w:after="0" w:line="2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86" w:lineRule="exact"/>
        <w:rPr>
          <w:sz w:val="20"/>
          <w:szCs w:val="20"/>
          <w:color w:val="auto"/>
        </w:rPr>
      </w:pPr>
    </w:p>
    <w:p>
      <w:pPr>
        <w:ind w:left="1520" w:right="439"/>
        <w:spacing w:after="0" w:line="261" w:lineRule="auto"/>
        <w:rPr>
          <w:sz w:val="20"/>
          <w:szCs w:val="20"/>
          <w:color w:val="auto"/>
        </w:rPr>
      </w:pPr>
      <w:r>
        <w:rPr>
          <w:rFonts w:ascii="Times New Roman" w:cs="Times New Roman" w:eastAsia="Times New Roman" w:hAnsi="Times New Roman"/>
          <w:sz w:val="14"/>
          <w:szCs w:val="14"/>
          <w:color w:val="auto"/>
        </w:rPr>
        <w:t>Subject to the terms of the indenture for any series of debt securities that we may issue, we and the trustee may change an indenture without the consent of any holders with respect to the following specific matters:</w:t>
      </w:r>
    </w:p>
    <w:p>
      <w:pPr>
        <w:spacing w:after="0" w:line="65" w:lineRule="exact"/>
        <w:rPr>
          <w:sz w:val="20"/>
          <w:szCs w:val="20"/>
          <w:color w:val="auto"/>
        </w:rPr>
      </w:pPr>
    </w:p>
    <w:p>
      <w:pPr>
        <w:ind w:left="2240" w:hanging="324"/>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fix any ambiguity, defect or inconsistency in the indenture;</w:t>
      </w:r>
    </w:p>
    <w:p>
      <w:pPr>
        <w:spacing w:after="0" w:line="90"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w:t>
      </w:r>
      <w:r>
        <w:rPr>
          <w:rFonts w:ascii="Times New Roman" w:cs="Times New Roman" w:eastAsia="Times New Roman" w:hAnsi="Times New Roman"/>
          <w:sz w:val="14"/>
          <w:szCs w:val="14"/>
          <w:i w:val="1"/>
          <w:iCs w:val="1"/>
          <w:color w:val="auto"/>
        </w:rPr>
        <w:t>Description of Debt Securities-Consolidation, Merger or Sale</w:t>
      </w:r>
      <w:r>
        <w:rPr>
          <w:rFonts w:ascii="Times New Roman" w:cs="Times New Roman" w:eastAsia="Times New Roman" w:hAnsi="Times New Roman"/>
          <w:sz w:val="14"/>
          <w:szCs w:val="14"/>
          <w:color w:val="auto"/>
        </w:rPr>
        <w:t>;”</w:t>
      </w:r>
    </w:p>
    <w:p>
      <w:pPr>
        <w:spacing w:after="0" w:line="94"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92" w:lineRule="exact"/>
        <w:rPr>
          <w:rFonts w:ascii="Times New Roman" w:cs="Times New Roman" w:eastAsia="Times New Roman" w:hAnsi="Times New Roman"/>
          <w:sz w:val="14"/>
          <w:szCs w:val="14"/>
          <w:color w:val="auto"/>
        </w:rPr>
      </w:pPr>
    </w:p>
    <w:p>
      <w:pPr>
        <w:ind w:left="2240" w:right="959" w:hanging="324"/>
        <w:spacing w:after="0" w:line="261" w:lineRule="auto"/>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hanging="324"/>
        <w:spacing w:after="0"/>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under</w:t>
      </w:r>
    </w:p>
    <w:p>
      <w:pPr>
        <w:spacing w:after="0" w:line="13" w:lineRule="exact"/>
        <w:rPr>
          <w:rFonts w:ascii="Times New Roman" w:cs="Times New Roman" w:eastAsia="Times New Roman" w:hAnsi="Times New Roman"/>
          <w:sz w:val="14"/>
          <w:szCs w:val="14"/>
          <w:color w:val="auto"/>
        </w:rPr>
      </w:pPr>
    </w:p>
    <w:p>
      <w:pPr>
        <w:ind w:left="2240" w:right="539"/>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Debt Securities-General</w:t>
      </w:r>
      <w:r>
        <w:rPr>
          <w:rFonts w:ascii="Times New Roman" w:cs="Times New Roman" w:eastAsia="Times New Roman" w:hAnsi="Times New Roman"/>
          <w:sz w:val="14"/>
          <w:szCs w:val="14"/>
          <w:color w:val="auto"/>
        </w:rPr>
        <w:t>,” to establish the form of any certifications required to be furnished pursuant to the terms of the indenture or any series of debt securities, or to add to the rights of the holders of any series of debt securities;</w:t>
      </w:r>
    </w:p>
    <w:p>
      <w:pPr>
        <w:spacing w:after="0" w:line="77"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and to make all appropriate changes for such purpose;</w:t>
      </w:r>
    </w:p>
    <w:p>
      <w:pPr>
        <w:spacing w:after="0" w:line="92" w:lineRule="exact"/>
        <w:rPr>
          <w:rFonts w:ascii="Times New Roman" w:cs="Times New Roman" w:eastAsia="Times New Roman" w:hAnsi="Times New Roman"/>
          <w:sz w:val="14"/>
          <w:szCs w:val="14"/>
          <w:color w:val="auto"/>
        </w:rPr>
      </w:pPr>
    </w:p>
    <w:p>
      <w:pPr>
        <w:jc w:val="both"/>
        <w:ind w:left="2240" w:right="419" w:hanging="324"/>
        <w:spacing w:after="0" w:line="251" w:lineRule="auto"/>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7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anything that does not materially adversely affect the interests of any holder of debt securities of any series.</w:t>
      </w:r>
    </w:p>
    <w:p>
      <w:pPr>
        <w:spacing w:after="0" w:line="163"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77" w:lineRule="exact"/>
        <w:rPr>
          <w:sz w:val="20"/>
          <w:szCs w:val="20"/>
          <w:color w:val="auto"/>
        </w:rPr>
      </w:pPr>
    </w:p>
    <w:p>
      <w:pPr>
        <w:ind w:left="2240" w:hanging="324"/>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stated maturity of the series of debt securities;</w:t>
      </w:r>
    </w:p>
    <w:p>
      <w:pPr>
        <w:spacing w:after="0" w:line="92" w:lineRule="exact"/>
        <w:rPr>
          <w:rFonts w:ascii="Times New Roman" w:cs="Times New Roman" w:eastAsia="Times New Roman" w:hAnsi="Times New Roman"/>
          <w:sz w:val="14"/>
          <w:szCs w:val="14"/>
          <w:color w:val="auto"/>
        </w:rPr>
      </w:pPr>
    </w:p>
    <w:p>
      <w:pPr>
        <w:ind w:left="2240" w:right="579" w:hanging="324"/>
        <w:spacing w:after="0" w:line="261" w:lineRule="auto"/>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or repurchase of any debt securities; or</w:t>
      </w:r>
    </w:p>
    <w:p>
      <w:pPr>
        <w:spacing w:after="0" w:line="65" w:lineRule="exact"/>
        <w:rPr>
          <w:rFonts w:ascii="Times New Roman" w:cs="Times New Roman" w:eastAsia="Times New Roman" w:hAnsi="Times New Roman"/>
          <w:sz w:val="14"/>
          <w:szCs w:val="14"/>
          <w:color w:val="auto"/>
        </w:rPr>
      </w:pPr>
    </w:p>
    <w:p>
      <w:pPr>
        <w:ind w:left="2240" w:right="599" w:hanging="324"/>
        <w:spacing w:after="0" w:line="261" w:lineRule="auto"/>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86" w:lineRule="exact"/>
        <w:rPr>
          <w:sz w:val="20"/>
          <w:szCs w:val="20"/>
          <w:color w:val="auto"/>
        </w:rPr>
      </w:pPr>
    </w:p>
    <w:p>
      <w:pPr>
        <w:jc w:val="both"/>
        <w:ind w:left="1520" w:right="579"/>
        <w:spacing w:after="0" w:line="251" w:lineRule="auto"/>
        <w:rPr>
          <w:sz w:val="20"/>
          <w:szCs w:val="20"/>
          <w:color w:val="auto"/>
        </w:rPr>
      </w:pPr>
      <w:r>
        <w:rPr>
          <w:rFonts w:ascii="Times New Roman" w:cs="Times New Roman" w:eastAsia="Times New Roman" w:hAnsi="Times New Roman"/>
          <w:sz w:val="14"/>
          <w:szCs w:val="14"/>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72" w:lineRule="exact"/>
        <w:rPr>
          <w:sz w:val="20"/>
          <w:szCs w:val="20"/>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63" w:lineRule="exact"/>
        <w:rPr>
          <w:sz w:val="20"/>
          <w:szCs w:val="20"/>
          <w:color w:val="auto"/>
        </w:rPr>
      </w:pPr>
    </w:p>
    <w:p>
      <w:pPr>
        <w:ind w:left="1520" w:right="499"/>
        <w:spacing w:after="0" w:line="261"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86" w:lineRule="exact"/>
        <w:rPr>
          <w:sz w:val="20"/>
          <w:szCs w:val="20"/>
          <w:color w:val="auto"/>
        </w:rPr>
      </w:pPr>
    </w:p>
    <w:p>
      <w:pPr>
        <w:ind w:left="1520" w:right="419"/>
        <w:spacing w:after="0" w:line="244"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51" w:lineRule="exact"/>
        <w:rPr>
          <w:sz w:val="20"/>
          <w:szCs w:val="20"/>
          <w:color w:val="auto"/>
        </w:rPr>
      </w:pPr>
    </w:p>
    <w:p>
      <w:pPr>
        <w:ind w:left="1520" w:right="459"/>
        <w:spacing w:after="0" w:line="297" w:lineRule="auto"/>
        <w:rPr>
          <w:sz w:val="20"/>
          <w:szCs w:val="20"/>
          <w:color w:val="auto"/>
        </w:rPr>
      </w:pPr>
      <w:r>
        <w:rPr>
          <w:rFonts w:ascii="Times New Roman" w:cs="Times New Roman" w:eastAsia="Times New Roman" w:hAnsi="Times New Roman"/>
          <w:sz w:val="12"/>
          <w:szCs w:val="12"/>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19" w:lineRule="exact"/>
        <w:rPr>
          <w:sz w:val="20"/>
          <w:szCs w:val="20"/>
          <w:color w:val="auto"/>
        </w:rPr>
      </w:pPr>
    </w:p>
    <w:p>
      <w:pPr>
        <w:ind w:left="1520" w:right="459"/>
        <w:spacing w:after="0" w:line="302" w:lineRule="auto"/>
        <w:rPr>
          <w:sz w:val="20"/>
          <w:szCs w:val="20"/>
          <w:color w:val="auto"/>
        </w:rPr>
      </w:pPr>
      <w:r>
        <w:rPr>
          <w:rFonts w:ascii="Times New Roman" w:cs="Times New Roman" w:eastAsia="Times New Roman" w:hAnsi="Times New Roman"/>
          <w:sz w:val="12"/>
          <w:szCs w:val="12"/>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45" w:lineRule="exact"/>
        <w:rPr>
          <w:sz w:val="20"/>
          <w:szCs w:val="20"/>
          <w:color w:val="auto"/>
        </w:rPr>
      </w:pPr>
    </w:p>
    <w:p>
      <w:pPr>
        <w:jc w:val="both"/>
        <w:ind w:left="2240" w:right="579" w:hanging="324"/>
        <w:spacing w:after="0" w:line="251" w:lineRule="auto"/>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2" w:lineRule="exact"/>
        <w:rPr>
          <w:rFonts w:ascii="Times New Roman" w:cs="Times New Roman" w:eastAsia="Times New Roman" w:hAnsi="Times New Roman"/>
          <w:sz w:val="14"/>
          <w:szCs w:val="14"/>
          <w:color w:val="auto"/>
        </w:rPr>
      </w:pPr>
    </w:p>
    <w:p>
      <w:pPr>
        <w:ind w:left="2240" w:right="579" w:hanging="324"/>
        <w:spacing w:after="0" w:line="261" w:lineRule="auto"/>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86" w:lineRule="exact"/>
        <w:rPr>
          <w:sz w:val="20"/>
          <w:szCs w:val="20"/>
          <w:color w:val="auto"/>
        </w:rPr>
      </w:pPr>
    </w:p>
    <w:p>
      <w:pPr>
        <w:jc w:val="both"/>
        <w:ind w:left="1520" w:right="499"/>
        <w:spacing w:after="0" w:line="251"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43" w:lineRule="exact"/>
        <w:rPr>
          <w:sz w:val="20"/>
          <w:szCs w:val="20"/>
          <w:color w:val="auto"/>
        </w:rPr>
      </w:pPr>
    </w:p>
    <w:p>
      <w:pPr>
        <w:ind w:left="1520" w:right="559"/>
        <w:spacing w:after="0" w:line="261" w:lineRule="auto"/>
        <w:rPr>
          <w:sz w:val="20"/>
          <w:szCs w:val="20"/>
          <w:color w:val="auto"/>
        </w:rPr>
      </w:pPr>
      <w:r>
        <w:rPr>
          <w:rFonts w:ascii="Times New Roman" w:cs="Times New Roman" w:eastAsia="Times New Roman" w:hAnsi="Times New Roman"/>
          <w:sz w:val="14"/>
          <w:szCs w:val="14"/>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6" w:lineRule="exact"/>
        <w:rPr>
          <w:sz w:val="20"/>
          <w:szCs w:val="20"/>
          <w:color w:val="auto"/>
        </w:rPr>
      </w:pPr>
    </w:p>
    <w:p>
      <w:pPr>
        <w:ind w:left="1520" w:right="439"/>
        <w:spacing w:after="0" w:line="251"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379"/>
        <w:spacing w:after="0" w:line="294" w:lineRule="auto"/>
        <w:rPr>
          <w:sz w:val="20"/>
          <w:szCs w:val="20"/>
          <w:color w:val="auto"/>
        </w:rPr>
      </w:pPr>
      <w:r>
        <w:rPr>
          <w:rFonts w:ascii="Times New Roman" w:cs="Times New Roman" w:eastAsia="Times New Roman" w:hAnsi="Times New Roman"/>
          <w:sz w:val="12"/>
          <w:szCs w:val="12"/>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20" w:lineRule="exact"/>
        <w:rPr>
          <w:sz w:val="20"/>
          <w:szCs w:val="20"/>
          <w:color w:val="auto"/>
        </w:rPr>
      </w:pPr>
    </w:p>
    <w:p>
      <w:pPr>
        <w:ind w:left="1520" w:right="519"/>
        <w:spacing w:after="0" w:line="251"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6" w:lineRule="exact"/>
        <w:rPr>
          <w:sz w:val="20"/>
          <w:szCs w:val="20"/>
          <w:color w:val="auto"/>
        </w:rPr>
      </w:pPr>
    </w:p>
    <w:p>
      <w:pPr>
        <w:ind w:left="1520" w:right="439"/>
        <w:spacing w:after="0" w:line="261"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Ranking of Debt Securities</w:t>
      </w:r>
    </w:p>
    <w:p>
      <w:pPr>
        <w:spacing w:after="0" w:line="86" w:lineRule="exact"/>
        <w:rPr>
          <w:sz w:val="20"/>
          <w:szCs w:val="20"/>
          <w:color w:val="auto"/>
        </w:rPr>
      </w:pPr>
    </w:p>
    <w:p>
      <w:pPr>
        <w:jc w:val="both"/>
        <w:ind w:left="1520" w:right="599"/>
        <w:spacing w:after="0" w:line="251" w:lineRule="auto"/>
        <w:rPr>
          <w:sz w:val="20"/>
          <w:szCs w:val="20"/>
          <w:color w:val="auto"/>
        </w:rPr>
      </w:pPr>
      <w:r>
        <w:rPr>
          <w:rFonts w:ascii="Times New Roman" w:cs="Times New Roman" w:eastAsia="Times New Roman" w:hAnsi="Times New Roman"/>
          <w:sz w:val="14"/>
          <w:szCs w:val="14"/>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43" w:lineRule="exact"/>
        <w:rPr>
          <w:sz w:val="20"/>
          <w:szCs w:val="20"/>
          <w:color w:val="auto"/>
        </w:rPr>
      </w:pPr>
    </w:p>
    <w:p>
      <w:pPr>
        <w:ind w:left="1520" w:right="459"/>
        <w:spacing w:after="0" w:line="261" w:lineRule="auto"/>
        <w:rPr>
          <w:sz w:val="20"/>
          <w:szCs w:val="20"/>
          <w:color w:val="auto"/>
        </w:rPr>
      </w:pPr>
      <w:r>
        <w:rPr>
          <w:rFonts w:ascii="Times New Roman" w:cs="Times New Roman" w:eastAsia="Times New Roman" w:hAnsi="Times New Roman"/>
          <w:sz w:val="14"/>
          <w:szCs w:val="14"/>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7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7" w:lineRule="exact"/>
        <w:rPr>
          <w:sz w:val="20"/>
          <w:szCs w:val="20"/>
          <w:color w:val="auto"/>
        </w:rPr>
      </w:pPr>
    </w:p>
    <w:p>
      <w:pPr>
        <w:ind w:left="1520" w:right="459"/>
        <w:spacing w:after="0" w:line="245"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6" w:lineRule="exact"/>
        <w:rPr>
          <w:sz w:val="20"/>
          <w:szCs w:val="20"/>
          <w:color w:val="auto"/>
        </w:rPr>
      </w:pPr>
    </w:p>
    <w:p>
      <w:pPr>
        <w:ind w:left="1520" w:right="859"/>
        <w:spacing w:after="0" w:line="251"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43" w:lineRule="exact"/>
        <w:rPr>
          <w:sz w:val="20"/>
          <w:szCs w:val="20"/>
          <w:color w:val="auto"/>
        </w:rPr>
      </w:pPr>
    </w:p>
    <w:p>
      <w:pPr>
        <w:ind w:left="1520" w:right="599"/>
        <w:spacing w:after="0" w:line="251"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4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92" w:lineRule="exact"/>
        <w:rPr>
          <w:sz w:val="20"/>
          <w:szCs w:val="20"/>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92" w:lineRule="exact"/>
        <w:rPr>
          <w:rFonts w:ascii="Times New Roman" w:cs="Times New Roman" w:eastAsia="Times New Roman" w:hAnsi="Times New Roman"/>
          <w:sz w:val="14"/>
          <w:szCs w:val="14"/>
          <w:color w:val="auto"/>
        </w:rPr>
      </w:pPr>
    </w:p>
    <w:p>
      <w:pPr>
        <w:ind w:left="2240" w:right="559" w:hanging="324"/>
        <w:spacing w:after="0" w:line="261"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92" w:lineRule="exact"/>
        <w:rPr>
          <w:rFonts w:ascii="Times New Roman" w:cs="Times New Roman" w:eastAsia="Times New Roman" w:hAnsi="Times New Roman"/>
          <w:sz w:val="14"/>
          <w:szCs w:val="14"/>
          <w:color w:val="auto"/>
        </w:rPr>
      </w:pPr>
    </w:p>
    <w:p>
      <w:pPr>
        <w:ind w:left="2240" w:right="399" w:hanging="324"/>
        <w:spacing w:after="0" w:line="261"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5" w:lineRule="exact"/>
        <w:rPr>
          <w:rFonts w:ascii="Times New Roman" w:cs="Times New Roman" w:eastAsia="Times New Roman" w:hAnsi="Times New Roman"/>
          <w:sz w:val="14"/>
          <w:szCs w:val="14"/>
          <w:color w:val="auto"/>
        </w:rPr>
      </w:pPr>
    </w:p>
    <w:p>
      <w:pPr>
        <w:ind w:left="2240" w:right="419" w:hanging="324"/>
        <w:spacing w:after="0" w:line="261"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67" w:lineRule="exact"/>
        <w:rPr>
          <w:sz w:val="20"/>
          <w:szCs w:val="20"/>
          <w:color w:val="auto"/>
        </w:rPr>
      </w:pPr>
    </w:p>
    <w:p>
      <w:pPr>
        <w:ind w:left="1520" w:right="419"/>
        <w:spacing w:after="0" w:line="244" w:lineRule="auto"/>
        <w:rPr>
          <w:sz w:val="20"/>
          <w:szCs w:val="20"/>
          <w:color w:val="auto"/>
        </w:rPr>
      </w:pPr>
      <w:r>
        <w:rPr>
          <w:rFonts w:ascii="Times New Roman" w:cs="Times New Roman" w:eastAsia="Times New Roman" w:hAnsi="Times New Roman"/>
          <w:sz w:val="14"/>
          <w:szCs w:val="14"/>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8" w:lineRule="exact"/>
        <w:rPr>
          <w:sz w:val="20"/>
          <w:szCs w:val="20"/>
          <w:color w:val="auto"/>
        </w:rPr>
      </w:pPr>
    </w:p>
    <w:p>
      <w:pPr>
        <w:ind w:left="1520" w:right="399"/>
        <w:spacing w:after="0" w:line="248"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74" w:lineRule="exact"/>
        <w:rPr>
          <w:sz w:val="20"/>
          <w:szCs w:val="20"/>
          <w:color w:val="auto"/>
        </w:rPr>
      </w:pPr>
    </w:p>
    <w:p>
      <w:pPr>
        <w:ind w:left="2240" w:right="619" w:hanging="324"/>
        <w:spacing w:after="0" w:line="261" w:lineRule="auto"/>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w:t>
      </w:r>
      <w:r>
        <w:rPr>
          <w:rFonts w:ascii="Times New Roman" w:cs="Times New Roman" w:eastAsia="Times New Roman" w:hAnsi="Times New Roman"/>
          <w:sz w:val="14"/>
          <w:szCs w:val="14"/>
          <w:i w:val="1"/>
          <w:iCs w:val="1"/>
          <w:color w:val="auto"/>
        </w:rPr>
        <w:t>Description of Capital Stock</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Description of Debt Securities”</w:t>
      </w:r>
      <w:r>
        <w:rPr>
          <w:rFonts w:ascii="Times New Roman" w:cs="Times New Roman" w:eastAsia="Times New Roman" w:hAnsi="Times New Roman"/>
          <w:sz w:val="14"/>
          <w:szCs w:val="14"/>
          <w:color w:val="auto"/>
        </w:rPr>
        <w:t xml:space="preserve"> and</w:t>
      </w:r>
    </w:p>
    <w:p>
      <w:pPr>
        <w:spacing w:after="0" w:line="1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Description of Warrants</w:t>
      </w:r>
      <w:r>
        <w:rPr>
          <w:rFonts w:ascii="Times New Roman" w:cs="Times New Roman" w:eastAsia="Times New Roman" w:hAnsi="Times New Roman"/>
          <w:sz w:val="12"/>
          <w:szCs w:val="12"/>
          <w:color w:val="auto"/>
        </w:rPr>
        <w:t>” will apply to the securities included in each unit, to the extent relevant and as may be updated in any prospectus supplements.</w:t>
      </w:r>
    </w:p>
    <w:p>
      <w:pPr>
        <w:spacing w:after="0" w:line="2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86" w:lineRule="exact"/>
        <w:rPr>
          <w:sz w:val="20"/>
          <w:szCs w:val="20"/>
          <w:color w:val="auto"/>
        </w:rPr>
      </w:pPr>
    </w:p>
    <w:p>
      <w:pPr>
        <w:ind w:left="1520" w:right="659"/>
        <w:spacing w:after="0" w:line="345" w:lineRule="auto"/>
        <w:rPr>
          <w:sz w:val="20"/>
          <w:szCs w:val="20"/>
          <w:color w:val="auto"/>
        </w:rPr>
      </w:pPr>
      <w:r>
        <w:rPr>
          <w:rFonts w:ascii="Times New Roman" w:cs="Times New Roman" w:eastAsia="Times New Roman" w:hAnsi="Times New Roman"/>
          <w:sz w:val="12"/>
          <w:szCs w:val="12"/>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86" w:lineRule="exact"/>
        <w:rPr>
          <w:sz w:val="20"/>
          <w:szCs w:val="20"/>
          <w:color w:val="auto"/>
        </w:rPr>
      </w:pPr>
    </w:p>
    <w:p>
      <w:pPr>
        <w:jc w:val="both"/>
        <w:ind w:left="1520" w:right="479"/>
        <w:spacing w:after="0" w:line="251"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following provisions will generally apply to all unit agreements unless otherwise stated in the applicable prospectus supplement:</w:t>
      </w:r>
    </w:p>
    <w:p>
      <w:pPr>
        <w:spacing w:after="0" w:line="2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without Consent</w:t>
      </w:r>
    </w:p>
    <w:p>
      <w:pPr>
        <w:spacing w:after="0" w:line="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92" w:lineRule="exact"/>
        <w:rPr>
          <w:sz w:val="20"/>
          <w:szCs w:val="20"/>
          <w:color w:val="auto"/>
        </w:rPr>
      </w:pPr>
    </w:p>
    <w:p>
      <w:pPr>
        <w:ind w:left="2240" w:hanging="324"/>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any provisions of the governing unit agreement that differ from those described below;</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92" w:lineRule="exact"/>
        <w:rPr>
          <w:rFonts w:ascii="Times New Roman" w:cs="Times New Roman" w:eastAsia="Times New Roman" w:hAnsi="Times New Roman"/>
          <w:sz w:val="14"/>
          <w:szCs w:val="14"/>
          <w:color w:val="auto"/>
        </w:rPr>
      </w:pPr>
    </w:p>
    <w:p>
      <w:pPr>
        <w:ind w:left="2240" w:right="479" w:hanging="324"/>
        <w:spacing w:after="0" w:line="261" w:lineRule="auto"/>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36" w:lineRule="exact"/>
        <w:rPr>
          <w:sz w:val="20"/>
          <w:szCs w:val="20"/>
          <w:color w:val="auto"/>
        </w:rPr>
      </w:pPr>
    </w:p>
    <w:p>
      <w:pPr>
        <w:ind w:left="1520" w:right="479"/>
        <w:spacing w:after="0" w:line="313" w:lineRule="auto"/>
        <w:rPr>
          <w:sz w:val="20"/>
          <w:szCs w:val="20"/>
          <w:color w:val="auto"/>
        </w:rPr>
      </w:pPr>
      <w:r>
        <w:rPr>
          <w:rFonts w:ascii="Times New Roman" w:cs="Times New Roman" w:eastAsia="Times New Roman" w:hAnsi="Times New Roman"/>
          <w:sz w:val="12"/>
          <w:szCs w:val="12"/>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 Consent</w:t>
      </w:r>
    </w:p>
    <w:p>
      <w:pPr>
        <w:spacing w:after="0" w:line="86" w:lineRule="exact"/>
        <w:rPr>
          <w:sz w:val="20"/>
          <w:szCs w:val="20"/>
          <w:color w:val="auto"/>
        </w:rPr>
      </w:pPr>
    </w:p>
    <w:p>
      <w:pPr>
        <w:ind w:left="1520" w:right="579"/>
        <w:spacing w:after="0" w:line="261" w:lineRule="auto"/>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65" w:lineRule="exact"/>
        <w:rPr>
          <w:sz w:val="20"/>
          <w:szCs w:val="20"/>
          <w:color w:val="auto"/>
        </w:rPr>
      </w:pPr>
    </w:p>
    <w:p>
      <w:pPr>
        <w:ind w:left="2240" w:right="519" w:hanging="324"/>
        <w:spacing w:after="0" w:line="261" w:lineRule="auto"/>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5" w:lineRule="exact"/>
        <w:rPr>
          <w:rFonts w:ascii="Times New Roman" w:cs="Times New Roman" w:eastAsia="Times New Roman" w:hAnsi="Times New Roman"/>
          <w:sz w:val="14"/>
          <w:szCs w:val="14"/>
          <w:color w:val="auto"/>
        </w:rPr>
      </w:pPr>
    </w:p>
    <w:p>
      <w:pPr>
        <w:ind w:left="2240" w:right="539" w:hanging="324"/>
        <w:spacing w:after="0" w:line="261" w:lineRule="auto"/>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92" w:lineRule="exact"/>
        <w:rPr>
          <w:sz w:val="20"/>
          <w:szCs w:val="20"/>
          <w:color w:val="auto"/>
        </w:rPr>
      </w:pPr>
    </w:p>
    <w:p>
      <w:pPr>
        <w:ind w:left="2240" w:right="699" w:hanging="324"/>
        <w:spacing w:after="0" w:line="261" w:lineRule="auto"/>
        <w:tabs>
          <w:tab w:leader="none" w:pos="2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65" w:lineRule="exact"/>
        <w:rPr>
          <w:rFonts w:ascii="Times New Roman" w:cs="Times New Roman" w:eastAsia="Times New Roman" w:hAnsi="Times New Roman"/>
          <w:sz w:val="14"/>
          <w:szCs w:val="14"/>
          <w:color w:val="auto"/>
        </w:rPr>
      </w:pPr>
    </w:p>
    <w:p>
      <w:pPr>
        <w:jc w:val="both"/>
        <w:ind w:left="2240" w:right="519" w:hanging="324"/>
        <w:spacing w:after="0" w:line="345" w:lineRule="auto"/>
        <w:tabs>
          <w:tab w:leader="none" w:pos="22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90" w:lineRule="exact"/>
        <w:rPr>
          <w:sz w:val="20"/>
          <w:szCs w:val="20"/>
          <w:color w:val="auto"/>
        </w:rPr>
      </w:pPr>
    </w:p>
    <w:p>
      <w:pPr>
        <w:ind w:left="1520" w:right="939"/>
        <w:spacing w:after="0" w:line="261" w:lineRule="auto"/>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2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Unit Agreements Will Not Be Qualified under Trust Indenture Act</w:t>
      </w:r>
    </w:p>
    <w:p>
      <w:pPr>
        <w:spacing w:after="0" w:line="86" w:lineRule="exact"/>
        <w:rPr>
          <w:sz w:val="20"/>
          <w:szCs w:val="20"/>
          <w:color w:val="auto"/>
        </w:rPr>
      </w:pPr>
    </w:p>
    <w:p>
      <w:pPr>
        <w:ind w:left="1520" w:right="499"/>
        <w:spacing w:after="0" w:line="261"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Transactions Permitted; No Restrictive Covenants or Events of Default</w:t>
      </w:r>
    </w:p>
    <w:p>
      <w:pPr>
        <w:spacing w:after="0" w:line="86" w:lineRule="exact"/>
        <w:rPr>
          <w:sz w:val="20"/>
          <w:szCs w:val="20"/>
          <w:color w:val="auto"/>
        </w:rPr>
      </w:pPr>
    </w:p>
    <w:p>
      <w:pPr>
        <w:ind w:left="1520" w:right="419"/>
        <w:spacing w:after="0" w:line="261"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559"/>
        <w:spacing w:after="0" w:line="261" w:lineRule="auto"/>
        <w:rPr>
          <w:sz w:val="20"/>
          <w:szCs w:val="20"/>
          <w:color w:val="auto"/>
        </w:rPr>
      </w:pPr>
      <w:r>
        <w:rPr>
          <w:rFonts w:ascii="Times New Roman" w:cs="Times New Roman" w:eastAsia="Times New Roman" w:hAnsi="Times New Roman"/>
          <w:sz w:val="14"/>
          <w:szCs w:val="14"/>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36" w:lineRule="exact"/>
        <w:rPr>
          <w:sz w:val="20"/>
          <w:szCs w:val="20"/>
          <w:color w:val="auto"/>
        </w:rPr>
      </w:pPr>
    </w:p>
    <w:p>
      <w:pPr>
        <w:ind w:left="1520" w:right="479"/>
        <w:spacing w:after="0" w:line="261"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unit agreements and the units will be governed by New York law.</w:t>
      </w:r>
    </w:p>
    <w:p>
      <w:pPr>
        <w:spacing w:after="0" w:line="2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Form, Exchange and Transfer</w:t>
      </w:r>
    </w:p>
    <w:p>
      <w:pPr>
        <w:spacing w:after="0" w:line="86"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4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w:t>
      </w:r>
    </w:p>
    <w:p>
      <w:pPr>
        <w:spacing w:after="0" w:line="163" w:lineRule="exact"/>
        <w:rPr>
          <w:sz w:val="20"/>
          <w:szCs w:val="20"/>
          <w:color w:val="auto"/>
        </w:rPr>
      </w:pPr>
    </w:p>
    <w:p>
      <w:pPr>
        <w:ind w:left="1520" w:right="719"/>
        <w:spacing w:after="0" w:line="261" w:lineRule="auto"/>
        <w:rPr>
          <w:sz w:val="20"/>
          <w:szCs w:val="20"/>
          <w:color w:val="auto"/>
        </w:rPr>
      </w:pPr>
      <w:r>
        <w:rPr>
          <w:rFonts w:ascii="Times New Roman" w:cs="Times New Roman" w:eastAsia="Times New Roman" w:hAnsi="Times New Roman"/>
          <w:sz w:val="14"/>
          <w:szCs w:val="14"/>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5" w:lineRule="exact"/>
        <w:rPr>
          <w:sz w:val="20"/>
          <w:szCs w:val="20"/>
          <w:color w:val="auto"/>
        </w:rPr>
      </w:pPr>
    </w:p>
    <w:p>
      <w:pPr>
        <w:ind w:left="2240" w:right="579" w:hanging="324"/>
        <w:spacing w:after="0" w:line="261" w:lineRule="auto"/>
        <w:tabs>
          <w:tab w:leader="none" w:pos="2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5" w:lineRule="exact"/>
        <w:rPr>
          <w:rFonts w:ascii="Times New Roman" w:cs="Times New Roman" w:eastAsia="Times New Roman" w:hAnsi="Times New Roman"/>
          <w:sz w:val="14"/>
          <w:szCs w:val="14"/>
          <w:color w:val="auto"/>
        </w:rPr>
      </w:pPr>
    </w:p>
    <w:p>
      <w:pPr>
        <w:ind w:left="2240" w:right="399" w:hanging="324"/>
        <w:spacing w:after="0" w:line="248" w:lineRule="auto"/>
        <w:tabs>
          <w:tab w:leader="none" w:pos="2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74" w:lineRule="exact"/>
        <w:rPr>
          <w:rFonts w:ascii="Times New Roman" w:cs="Times New Roman" w:eastAsia="Times New Roman" w:hAnsi="Times New Roman"/>
          <w:sz w:val="14"/>
          <w:szCs w:val="14"/>
          <w:color w:val="auto"/>
        </w:rPr>
      </w:pPr>
    </w:p>
    <w:p>
      <w:pPr>
        <w:ind w:left="2240" w:right="399" w:hanging="324"/>
        <w:spacing w:after="0" w:line="245" w:lineRule="auto"/>
        <w:tabs>
          <w:tab w:leader="none" w:pos="2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4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2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Payments and Notices</w:t>
      </w:r>
    </w:p>
    <w:p>
      <w:pPr>
        <w:spacing w:after="0" w:line="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color w:val="auto"/>
        </w:rPr>
        <w:t>In making payments and giving notices with respect to our units, we will follow the procedures as described in the applicable prospectus supplement.</w:t>
      </w:r>
    </w:p>
    <w:p>
      <w:pPr>
        <w:spacing w:after="0" w:line="1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7" w:lineRule="exact"/>
        <w:rPr>
          <w:sz w:val="20"/>
          <w:szCs w:val="20"/>
          <w:color w:val="auto"/>
        </w:rPr>
      </w:pPr>
    </w:p>
    <w:p>
      <w:pPr>
        <w:ind w:left="1520" w:right="459"/>
        <w:spacing w:after="0" w:line="251" w:lineRule="auto"/>
        <w:rPr>
          <w:sz w:val="20"/>
          <w:szCs w:val="20"/>
          <w:color w:val="auto"/>
        </w:rPr>
      </w:pPr>
      <w:r>
        <w:rPr>
          <w:rFonts w:ascii="Times New Roman" w:cs="Times New Roman" w:eastAsia="Times New Roman" w:hAnsi="Times New Roman"/>
          <w:sz w:val="14"/>
          <w:szCs w:val="14"/>
          <w:color w:val="auto"/>
        </w:rPr>
        <w:t>We may sell the offered securities in and outside the U.S.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43" w:lineRule="exact"/>
        <w:rPr>
          <w:sz w:val="20"/>
          <w:szCs w:val="20"/>
          <w:color w:val="auto"/>
        </w:rPr>
      </w:pPr>
    </w:p>
    <w:p>
      <w:pPr>
        <w:ind w:left="1520" w:right="379"/>
        <w:spacing w:after="0" w:line="261"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and may be resold from time to time in one or more transactions, including:</w:t>
      </w:r>
    </w:p>
    <w:p>
      <w:pPr>
        <w:spacing w:after="0" w:line="65" w:lineRule="exact"/>
        <w:rPr>
          <w:sz w:val="20"/>
          <w:szCs w:val="20"/>
          <w:color w:val="auto"/>
        </w:rPr>
      </w:pPr>
    </w:p>
    <w:p>
      <w:pPr>
        <w:ind w:left="2240" w:hanging="324"/>
        <w:spacing w:after="0"/>
        <w:tabs>
          <w:tab w:leader="none" w:pos="2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one or more transactions at a fixed price or prices, which may be changed from time to time;</w:t>
      </w:r>
    </w:p>
    <w:p>
      <w:pPr>
        <w:spacing w:after="0" w:line="92" w:lineRule="exact"/>
        <w:rPr>
          <w:rFonts w:ascii="Times New Roman" w:cs="Times New Roman" w:eastAsia="Times New Roman" w:hAnsi="Times New Roman"/>
          <w:sz w:val="14"/>
          <w:szCs w:val="14"/>
          <w:color w:val="auto"/>
        </w:rPr>
      </w:pPr>
    </w:p>
    <w:p>
      <w:pPr>
        <w:ind w:left="2240" w:right="519" w:hanging="324"/>
        <w:spacing w:after="0" w:line="261" w:lineRule="auto"/>
        <w:tabs>
          <w:tab w:leader="none" w:pos="2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market maker or into an existing trading market on an exchange or otherwise;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those prevailing market prices; or</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applicable prospectus supplement will set forth the following information to the extent applicable:</w:t>
      </w:r>
    </w:p>
    <w:p>
      <w:pPr>
        <w:spacing w:after="0" w:line="92" w:lineRule="exact"/>
        <w:rPr>
          <w:sz w:val="20"/>
          <w:szCs w:val="20"/>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dealers or agents;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2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86" w:lineRule="exact"/>
        <w:rPr>
          <w:sz w:val="20"/>
          <w:szCs w:val="20"/>
          <w:color w:val="auto"/>
        </w:rPr>
      </w:pPr>
    </w:p>
    <w:p>
      <w:pPr>
        <w:ind w:left="1520" w:right="439"/>
        <w:spacing w:after="0" w:line="244" w:lineRule="auto"/>
        <w:rPr>
          <w:sz w:val="20"/>
          <w:szCs w:val="20"/>
          <w:color w:val="auto"/>
        </w:rPr>
      </w:pPr>
      <w:r>
        <w:rPr>
          <w:rFonts w:ascii="Times New Roman" w:cs="Times New Roman" w:eastAsia="Times New Roman" w:hAnsi="Times New Roman"/>
          <w:sz w:val="14"/>
          <w:szCs w:val="14"/>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48" w:lineRule="exact"/>
        <w:rPr>
          <w:sz w:val="20"/>
          <w:szCs w:val="20"/>
          <w:color w:val="auto"/>
        </w:rPr>
      </w:pPr>
    </w:p>
    <w:p>
      <w:pPr>
        <w:jc w:val="both"/>
        <w:ind w:left="1520" w:right="619"/>
        <w:spacing w:after="0" w:line="251" w:lineRule="auto"/>
        <w:rPr>
          <w:sz w:val="20"/>
          <w:szCs w:val="20"/>
          <w:color w:val="auto"/>
        </w:rPr>
      </w:pPr>
      <w:r>
        <w:rPr>
          <w:rFonts w:ascii="Times New Roman" w:cs="Times New Roman" w:eastAsia="Times New Roman" w:hAnsi="Times New Roman"/>
          <w:sz w:val="14"/>
          <w:szCs w:val="14"/>
          <w:color w:val="auto"/>
        </w:rPr>
        <w:t>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479"/>
        <w:spacing w:after="0" w:line="246" w:lineRule="auto"/>
        <w:rPr>
          <w:sz w:val="20"/>
          <w:szCs w:val="20"/>
          <w:color w:val="auto"/>
        </w:rPr>
      </w:pPr>
      <w:r>
        <w:rPr>
          <w:rFonts w:ascii="Times New Roman" w:cs="Times New Roman" w:eastAsia="Times New Roman" w:hAnsi="Times New Roman"/>
          <w:sz w:val="14"/>
          <w:szCs w:val="14"/>
          <w:color w:val="auto"/>
        </w:rPr>
        <w:t>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48" w:lineRule="exact"/>
        <w:rPr>
          <w:sz w:val="20"/>
          <w:szCs w:val="20"/>
          <w:color w:val="auto"/>
        </w:rPr>
      </w:pPr>
    </w:p>
    <w:p>
      <w:pPr>
        <w:ind w:left="1520" w:right="479"/>
        <w:spacing w:after="0" w:line="248" w:lineRule="auto"/>
        <w:rPr>
          <w:sz w:val="20"/>
          <w:szCs w:val="20"/>
          <w:color w:val="auto"/>
        </w:rPr>
      </w:pPr>
      <w:r>
        <w:rPr>
          <w:rFonts w:ascii="Times New Roman" w:cs="Times New Roman" w:eastAsia="Times New Roman" w:hAnsi="Times New Roman"/>
          <w:sz w:val="14"/>
          <w:szCs w:val="14"/>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45" w:lineRule="exact"/>
        <w:rPr>
          <w:sz w:val="20"/>
          <w:szCs w:val="20"/>
          <w:color w:val="auto"/>
        </w:rPr>
      </w:pPr>
    </w:p>
    <w:p>
      <w:pPr>
        <w:ind w:left="1520" w:right="799"/>
        <w:spacing w:after="0" w:line="261" w:lineRule="auto"/>
        <w:rPr>
          <w:sz w:val="20"/>
          <w:szCs w:val="20"/>
          <w:color w:val="auto"/>
        </w:rPr>
      </w:pPr>
      <w:r>
        <w:rPr>
          <w:rFonts w:ascii="Times New Roman" w:cs="Times New Roman" w:eastAsia="Times New Roman" w:hAnsi="Times New Roman"/>
          <w:sz w:val="14"/>
          <w:szCs w:val="14"/>
          <w:color w:val="auto"/>
        </w:rPr>
        <w:t>If any securities are offered through dealers, we will sell the securities to them as principals. They may then resell those securities to the public at varying prices determined by the dealers at the time of resale.</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86" w:lineRule="exact"/>
        <w:rPr>
          <w:sz w:val="20"/>
          <w:szCs w:val="20"/>
          <w:color w:val="auto"/>
        </w:rPr>
      </w:pPr>
    </w:p>
    <w:p>
      <w:pPr>
        <w:ind w:left="1520" w:right="379"/>
        <w:spacing w:after="0" w:line="244" w:lineRule="auto"/>
        <w:rPr>
          <w:sz w:val="20"/>
          <w:szCs w:val="20"/>
          <w:color w:val="auto"/>
        </w:rPr>
      </w:pPr>
      <w:r>
        <w:rPr>
          <w:rFonts w:ascii="Times New Roman" w:cs="Times New Roman" w:eastAsia="Times New Roman" w:hAnsi="Times New Roman"/>
          <w:sz w:val="14"/>
          <w:szCs w:val="14"/>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2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86" w:lineRule="exact"/>
        <w:rPr>
          <w:sz w:val="20"/>
          <w:szCs w:val="20"/>
          <w:color w:val="auto"/>
        </w:rPr>
      </w:pPr>
    </w:p>
    <w:p>
      <w:pPr>
        <w:ind w:left="1520" w:right="379"/>
        <w:spacing w:after="0" w:line="244" w:lineRule="auto"/>
        <w:rPr>
          <w:sz w:val="20"/>
          <w:szCs w:val="20"/>
          <w:color w:val="auto"/>
        </w:rPr>
      </w:pPr>
      <w:r>
        <w:rPr>
          <w:rFonts w:ascii="Times New Roman" w:cs="Times New Roman" w:eastAsia="Times New Roman" w:hAnsi="Times New Roman"/>
          <w:sz w:val="14"/>
          <w:szCs w:val="14"/>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Remarketing Arrangements</w:t>
      </w:r>
    </w:p>
    <w:p>
      <w:pPr>
        <w:spacing w:after="0" w:line="86"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86" w:lineRule="exact"/>
        <w:rPr>
          <w:sz w:val="20"/>
          <w:szCs w:val="20"/>
          <w:color w:val="auto"/>
        </w:rPr>
      </w:pPr>
    </w:p>
    <w:p>
      <w:pPr>
        <w:ind w:left="1520" w:right="539"/>
        <w:spacing w:after="0" w:line="251" w:lineRule="auto"/>
        <w:rPr>
          <w:sz w:val="20"/>
          <w:szCs w:val="20"/>
          <w:color w:val="auto"/>
        </w:rPr>
      </w:pPr>
      <w:r>
        <w:rPr>
          <w:rFonts w:ascii="Times New Roman" w:cs="Times New Roman" w:eastAsia="Times New Roman" w:hAnsi="Times New Roman"/>
          <w:sz w:val="14"/>
          <w:szCs w:val="14"/>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86" w:lineRule="exact"/>
        <w:rPr>
          <w:sz w:val="20"/>
          <w:szCs w:val="20"/>
          <w:color w:val="auto"/>
        </w:rPr>
      </w:pPr>
    </w:p>
    <w:p>
      <w:pPr>
        <w:ind w:left="1520" w:right="519"/>
        <w:spacing w:after="0" w:line="248" w:lineRule="auto"/>
        <w:rPr>
          <w:sz w:val="20"/>
          <w:szCs w:val="20"/>
          <w:color w:val="auto"/>
        </w:rPr>
      </w:pPr>
      <w:r>
        <w:rPr>
          <w:rFonts w:ascii="Times New Roman" w:cs="Times New Roman" w:eastAsia="Times New Roman" w:hAnsi="Times New Roman"/>
          <w:sz w:val="14"/>
          <w:szCs w:val="14"/>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45" w:lineRule="exact"/>
        <w:rPr>
          <w:sz w:val="20"/>
          <w:szCs w:val="20"/>
          <w:color w:val="auto"/>
        </w:rPr>
      </w:pPr>
    </w:p>
    <w:p>
      <w:pPr>
        <w:jc w:val="both"/>
        <w:ind w:left="1520" w:right="399"/>
        <w:spacing w:after="0" w:line="251" w:lineRule="auto"/>
        <w:rPr>
          <w:sz w:val="20"/>
          <w:szCs w:val="20"/>
          <w:color w:val="auto"/>
        </w:rPr>
      </w:pPr>
      <w:r>
        <w:rPr>
          <w:rFonts w:ascii="Times New Roman" w:cs="Times New Roman" w:eastAsia="Times New Roman" w:hAnsi="Times New Roman"/>
          <w:sz w:val="14"/>
          <w:szCs w:val="14"/>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7" w:lineRule="exact"/>
        <w:rPr>
          <w:sz w:val="20"/>
          <w:szCs w:val="20"/>
          <w:color w:val="auto"/>
        </w:rPr>
      </w:pPr>
    </w:p>
    <w:p>
      <w:pPr>
        <w:ind w:left="1520" w:right="779"/>
        <w:spacing w:after="0" w:line="345" w:lineRule="auto"/>
        <w:rPr>
          <w:sz w:val="20"/>
          <w:szCs w:val="20"/>
          <w:color w:val="auto"/>
        </w:rPr>
      </w:pPr>
      <w:r>
        <w:rPr>
          <w:rFonts w:ascii="Times New Roman" w:cs="Times New Roman" w:eastAsia="Times New Roman" w:hAnsi="Times New Roman"/>
          <w:sz w:val="12"/>
          <w:szCs w:val="12"/>
          <w:color w:val="auto"/>
        </w:rPr>
        <w:t>Certain legal matters in connection with this offering will be passed upon for us by Goodwin Procter LLP, New York, New York. Additional legal matters may be passed on for us, or any underwriters, dealers or agents by counsel we will name in the applicable prospectus supplement.</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7" w:lineRule="exact"/>
        <w:rPr>
          <w:sz w:val="20"/>
          <w:szCs w:val="20"/>
          <w:color w:val="auto"/>
        </w:rPr>
      </w:pPr>
    </w:p>
    <w:p>
      <w:pPr>
        <w:ind w:left="1520" w:right="399"/>
        <w:spacing w:after="0" w:line="248" w:lineRule="auto"/>
        <w:rPr>
          <w:sz w:val="20"/>
          <w:szCs w:val="20"/>
          <w:color w:val="auto"/>
        </w:rPr>
      </w:pPr>
      <w:r>
        <w:rPr>
          <w:rFonts w:ascii="Times New Roman" w:cs="Times New Roman" w:eastAsia="Times New Roman" w:hAnsi="Times New Roman"/>
          <w:sz w:val="14"/>
          <w:szCs w:val="14"/>
          <w:color w:val="auto"/>
        </w:rPr>
        <w:t>The consolidated financial statements of PepGen Inc. and subsidiary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193040</wp:posOffset>
            </wp:positionV>
            <wp:extent cx="524954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249545" cy="1270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231775</wp:posOffset>
            </wp:positionV>
            <wp:extent cx="524954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249545" cy="635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495300</wp:posOffset>
            </wp:positionV>
            <wp:extent cx="1158240" cy="392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8240" cy="392430"/>
                    </a:xfrm>
                    <a:prstGeom prst="rect">
                      <a:avLst/>
                    </a:prstGeom>
                    <a:noFill/>
                  </pic:spPr>
                </pic:pic>
              </a:graphicData>
            </a:graphic>
          </wp:anchor>
        </w:drawing>
      </w:r>
    </w:p>
    <w:p>
      <w:pPr>
        <w:sectPr>
          <w:pgSz w:w="11900" w:h="16838" w:orient="portrait"/>
          <w:cols w:equalWidth="0" w:num="1">
            <w:col w:w="10159"/>
          </w:cols>
          <w:pgMar w:left="300" w:top="3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3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1525270</wp:posOffset>
            </wp:positionV>
            <wp:extent cx="110680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180340</wp:posOffset>
            </wp:positionV>
            <wp:extent cx="110680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320040</wp:posOffset>
            </wp:positionV>
            <wp:extent cx="524954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249545" cy="63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371475</wp:posOffset>
            </wp:positionV>
            <wp:extent cx="524954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249545" cy="12700"/>
                    </a:xfrm>
                    <a:prstGeom prst="rect">
                      <a:avLst/>
                    </a:prstGeom>
                    <a:noFill/>
                  </pic:spPr>
                </pic:pic>
              </a:graphicData>
            </a:graphic>
          </wp:anchor>
        </w:drawing>
      </w:r>
    </w:p>
    <w:p>
      <w:pPr>
        <w:sectPr>
          <w:pgSz w:w="11900" w:h="16838" w:orient="portrait"/>
          <w:cols w:equalWidth="0" w:num="1">
            <w:col w:w="10159"/>
          </w:cols>
          <w:pgMar w:left="300" w:top="376"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1" w:lineRule="exact"/>
        <w:rPr>
          <w:sz w:val="20"/>
          <w:szCs w:val="20"/>
          <w:color w:val="auto"/>
        </w:rPr>
      </w:pPr>
    </w:p>
    <w:tbl>
      <w:tblPr>
        <w:tblLayout w:type="fixed"/>
        <w:tblInd w:w="1520" w:type="dxa"/>
        <w:tblCellMar>
          <w:top w:w="0" w:type="dxa"/>
          <w:left w:w="0" w:type="dxa"/>
          <w:bottom w:w="0" w:type="dxa"/>
          <w:right w:w="0" w:type="dxa"/>
        </w:tblCellMar>
      </w:tblPr>
      <w:tr>
        <w:trPr>
          <w:trHeight w:val="2854"/>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securities may not be sold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preliminary prospectus is not an offer to sell</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not permitted.</w:t>
            </w:r>
          </w:p>
        </w:tc>
      </w:tr>
      <w:tr>
        <w:trPr>
          <w:trHeight w:val="5890"/>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The information in this preliminary prospectus is not complete and may be changed. These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registration statement filed with the Securities and 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nor does it seek an offer to buy these 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FF4338"/>
        </w:rPr>
        <w:t>SUBJECT TO COMPLETION, DATED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-573405</wp:posOffset>
            </wp:positionV>
            <wp:extent cx="7204710"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127000</wp:posOffset>
            </wp:positionV>
            <wp:extent cx="1325245" cy="44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32524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Up to $100,000,000</w:t>
      </w:r>
    </w:p>
    <w:p>
      <w:pPr>
        <w:spacing w:after="0" w:line="17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182880</wp:posOffset>
            </wp:positionV>
            <wp:extent cx="92646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926465"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039"/>
        <w:spacing w:after="0" w:line="270" w:lineRule="auto"/>
        <w:rPr>
          <w:sz w:val="20"/>
          <w:szCs w:val="20"/>
          <w:color w:val="auto"/>
        </w:rPr>
      </w:pPr>
      <w:r>
        <w:rPr>
          <w:rFonts w:ascii="Times New Roman" w:cs="Times New Roman" w:eastAsia="Times New Roman" w:hAnsi="Times New Roman"/>
          <w:sz w:val="12"/>
          <w:szCs w:val="12"/>
          <w:color w:val="auto"/>
        </w:rPr>
        <w:t>We have entered into an At-The Market Equity Offering Sales Agreement, or the Sales Agreement, with Stifel, Nicolaus &amp; Company, Incorporated, or Stifel, dated May 18, 2026, relating to the sale of shares of our common stock, $0.0001 par value per share, or common stock. In accordance with the terms of the Sales Agreement, pursuant to this prospectus, we may offer and sell shares of our common stock having an aggregate offering price of up to $100,000,000 from time to time through Stifel, acting as our sales agent. This Sales Agreement replaces our prior sales agreement, dated August 8, 2023, with Stifel, or the Prior Sales Agreement. As of the date of this prospectus, $88,474,029.98 of shares of common stock remained available for sale under the Prior Sales Agreement. No sales will be made pursuant to the Prior Sales Agreement subsequent to the date of this prospectus.</w:t>
      </w:r>
    </w:p>
    <w:p>
      <w:pPr>
        <w:spacing w:after="0" w:line="139" w:lineRule="exact"/>
        <w:rPr>
          <w:sz w:val="20"/>
          <w:szCs w:val="20"/>
          <w:color w:val="auto"/>
        </w:rPr>
      </w:pPr>
    </w:p>
    <w:p>
      <w:pPr>
        <w:ind w:right="1199"/>
        <w:spacing w:after="0" w:line="299" w:lineRule="auto"/>
        <w:rPr>
          <w:sz w:val="20"/>
          <w:szCs w:val="20"/>
          <w:color w:val="auto"/>
        </w:rPr>
      </w:pPr>
      <w:r>
        <w:rPr>
          <w:rFonts w:ascii="Times New Roman" w:cs="Times New Roman" w:eastAsia="Times New Roman" w:hAnsi="Times New Roman"/>
          <w:sz w:val="12"/>
          <w:szCs w:val="12"/>
          <w:color w:val="auto"/>
        </w:rPr>
        <w:t>Our common stock is listed on The Nasdaq Global Select Market under the symbol “PEPG.” On May 15, 2026, the closing sale price of our common stock on The Nasdaq Global Select Market was $1.55 per share.</w:t>
      </w:r>
    </w:p>
    <w:p>
      <w:pPr>
        <w:spacing w:after="0" w:line="122" w:lineRule="exact"/>
        <w:rPr>
          <w:sz w:val="20"/>
          <w:szCs w:val="20"/>
          <w:color w:val="auto"/>
        </w:rPr>
      </w:pPr>
    </w:p>
    <w:p>
      <w:pPr>
        <w:ind w:right="1039"/>
        <w:spacing w:after="0" w:line="273" w:lineRule="auto"/>
        <w:rPr>
          <w:sz w:val="20"/>
          <w:szCs w:val="20"/>
          <w:color w:val="auto"/>
        </w:rPr>
      </w:pPr>
      <w:r>
        <w:rPr>
          <w:rFonts w:ascii="Times New Roman" w:cs="Times New Roman" w:eastAsia="Times New Roman" w:hAnsi="Times New Roman"/>
          <w:sz w:val="12"/>
          <w:szCs w:val="12"/>
          <w:color w:val="auto"/>
        </w:rPr>
        <w:t>Sales of our common stock, if any, under this prospectus will be made by any method permitted that is deemed to be an “at the market offering” as defined in Rule 415(a)(4) promulgated under the Securities Act of 1933, as amended, or the Securities Act. Stifel is not required to sell any specific number or dollar amount of securities, but will act as a sales agent using commercially reasonable efforts consistent with its normal trading and sales practices to sell on our behalf all of the shares of common stock requested to be sold by us, on mutually agreed terms between Stifel and us. There is no arrangement for funds to be received in any escrow, trust or similar arrangement.</w:t>
      </w:r>
    </w:p>
    <w:p>
      <w:pPr>
        <w:spacing w:after="0" w:line="137" w:lineRule="exact"/>
        <w:rPr>
          <w:sz w:val="20"/>
          <w:szCs w:val="20"/>
          <w:color w:val="auto"/>
        </w:rPr>
      </w:pPr>
    </w:p>
    <w:p>
      <w:pPr>
        <w:ind w:right="1039"/>
        <w:spacing w:after="0" w:line="271" w:lineRule="auto"/>
        <w:rPr>
          <w:sz w:val="20"/>
          <w:szCs w:val="20"/>
          <w:color w:val="auto"/>
        </w:rPr>
      </w:pPr>
      <w:r>
        <w:rPr>
          <w:rFonts w:ascii="Times New Roman" w:cs="Times New Roman" w:eastAsia="Times New Roman" w:hAnsi="Times New Roman"/>
          <w:sz w:val="12"/>
          <w:szCs w:val="12"/>
          <w:color w:val="auto"/>
        </w:rPr>
        <w:t>Stifel will be entitled to compensation under the terms of the Sales Agreement at a commission rate of up to 3.0% of the gross proceeds of any shares of common stock sold under the Sales Agreement. In connection with the sale of our common stock on our behalf, Stifel will be deemed to be an “underwriter” within the meaning of the Securities Act and the compensation of Stifel may be deemed to be underwriting commissions or discounts. See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beginning on page 14 for additional information regarding the compensation to be paid to Stifel. We have also agreed to provide indemnification and contribution to Stifel with respect to certain liabilities, including liabilities under the Securities Act or the Securities Exchange Act of 1934, as amended, or the Exchange Act.</w:t>
      </w:r>
    </w:p>
    <w:p>
      <w:pPr>
        <w:spacing w:after="0" w:line="139" w:lineRule="exact"/>
        <w:rPr>
          <w:sz w:val="20"/>
          <w:szCs w:val="20"/>
          <w:color w:val="auto"/>
        </w:rPr>
      </w:pPr>
    </w:p>
    <w:p>
      <w:pPr>
        <w:ind w:right="1159"/>
        <w:spacing w:after="0" w:line="281" w:lineRule="auto"/>
        <w:rPr>
          <w:sz w:val="20"/>
          <w:szCs w:val="20"/>
          <w:color w:val="auto"/>
        </w:rPr>
      </w:pPr>
      <w:r>
        <w:rPr>
          <w:rFonts w:ascii="Times New Roman" w:cs="Times New Roman" w:eastAsia="Times New Roman" w:hAnsi="Times New Roman"/>
          <w:sz w:val="12"/>
          <w:szCs w:val="12"/>
          <w:color w:val="auto"/>
        </w:rPr>
        <w:t>We are an “emerging growth company” and a “smaller reporting company” under the federal securities laws and, as such, we have elected to comply with certain reduced public company reporting requirements for this prospectus and for future filings. See “</w:t>
      </w:r>
      <w:r>
        <w:rPr>
          <w:rFonts w:ascii="Times New Roman" w:cs="Times New Roman" w:eastAsia="Times New Roman" w:hAnsi="Times New Roman"/>
          <w:sz w:val="12"/>
          <w:szCs w:val="12"/>
          <w:i w:val="1"/>
          <w:iCs w:val="1"/>
          <w:color w:val="auto"/>
        </w:rPr>
        <w:t>Prospectus Summary—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Implications of Being an Emerging Growth Company and a Smaller Reporting Company</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155575</wp:posOffset>
            </wp:positionV>
            <wp:extent cx="92646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926465" cy="6350"/>
                    </a:xfrm>
                    <a:prstGeom prst="rect">
                      <a:avLst/>
                    </a:prstGeom>
                    <a:noFill/>
                  </pic:spPr>
                </pic:pic>
              </a:graphicData>
            </a:graphic>
          </wp:anchor>
        </w:drawing>
      </w:r>
    </w:p>
    <w:p>
      <w:pPr>
        <w:spacing w:after="0" w:line="377" w:lineRule="exact"/>
        <w:rPr>
          <w:sz w:val="20"/>
          <w:szCs w:val="20"/>
          <w:color w:val="auto"/>
        </w:rPr>
      </w:pPr>
    </w:p>
    <w:p>
      <w:pPr>
        <w:ind w:right="1159"/>
        <w:spacing w:after="0" w:line="256" w:lineRule="auto"/>
        <w:rPr>
          <w:sz w:val="20"/>
          <w:szCs w:val="20"/>
          <w:color w:val="auto"/>
        </w:rPr>
      </w:pPr>
      <w:r>
        <w:rPr>
          <w:rFonts w:ascii="Times New Roman" w:cs="Times New Roman" w:eastAsia="Times New Roman" w:hAnsi="Times New Roman"/>
          <w:sz w:val="15"/>
          <w:szCs w:val="15"/>
          <w:b w:val="1"/>
          <w:bCs w:val="1"/>
          <w:color w:val="auto"/>
        </w:rPr>
        <w:t>Investing in our common stock involves a high degree of risk. See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9 of this prospectus and under similar headings in the other documents that are incorporated by reference into this prospectus concerning factors you should consider before investing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164465</wp:posOffset>
            </wp:positionV>
            <wp:extent cx="92646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926465" cy="6350"/>
                    </a:xfrm>
                    <a:prstGeom prst="rect">
                      <a:avLst/>
                    </a:prstGeom>
                    <a:noFill/>
                  </pic:spPr>
                </pic:pic>
              </a:graphicData>
            </a:graphic>
          </wp:anchor>
        </w:drawing>
      </w:r>
    </w:p>
    <w:p>
      <w:pPr>
        <w:spacing w:after="0" w:line="398" w:lineRule="exact"/>
        <w:rPr>
          <w:sz w:val="20"/>
          <w:szCs w:val="20"/>
          <w:color w:val="auto"/>
        </w:rPr>
      </w:pPr>
    </w:p>
    <w:p>
      <w:pPr>
        <w:ind w:right="1139"/>
        <w:spacing w:after="0" w:line="303" w:lineRule="auto"/>
        <w:rPr>
          <w:sz w:val="20"/>
          <w:szCs w:val="20"/>
          <w:color w:val="auto"/>
        </w:rPr>
      </w:pPr>
      <w:r>
        <w:rPr>
          <w:rFonts w:ascii="Times New Roman" w:cs="Times New Roman" w:eastAsia="Times New Roman" w:hAnsi="Times New Roman"/>
          <w:sz w:val="12"/>
          <w:szCs w:val="12"/>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95885</wp:posOffset>
            </wp:positionV>
            <wp:extent cx="1325245"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3252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2"/>
          <w:szCs w:val="12"/>
          <w:b w:val="1"/>
          <w:bCs w:val="1"/>
          <w:color w:val="auto"/>
        </w:rPr>
        <w:t>The date of this prospectus is            , 2026.</w:t>
      </w:r>
    </w:p>
    <w:p>
      <w:pPr>
        <w:sectPr>
          <w:pgSz w:w="11900" w:h="16838" w:orient="portrait"/>
          <w:cols w:equalWidth="0" w:num="2">
            <w:col w:w="1940" w:space="220"/>
            <w:col w:w="7999"/>
          </w:cols>
          <w:pgMar w:left="300" w:top="37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4"/>
        </w:trPr>
        <w:tc>
          <w:tcPr>
            <w:tcW w:w="61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0000EE"/>
              </w:rPr>
              <w:t>ABOUT THIS PROSPECTUS</w:t>
            </w:r>
          </w:p>
        </w:tc>
        <w:tc>
          <w:tcPr>
            <w:tcW w:w="2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2"/>
        </w:trPr>
        <w:tc>
          <w:tcPr>
            <w:tcW w:w="4340" w:type="dxa"/>
            <w:vAlign w:val="bottom"/>
            <w:tcBorders>
              <w:bottom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4"/>
                <w:szCs w:val="14"/>
                <w:color w:val="0000EE"/>
                <w:w w:val="94"/>
              </w:rPr>
              <w:t>CAUTIONARY NOTE REGARDING FORWARD-LOOKING STATEMENTS</w:t>
            </w:r>
          </w:p>
        </w:tc>
        <w:tc>
          <w:tcPr>
            <w:tcW w:w="1820" w:type="dxa"/>
            <w:vAlign w:val="bottom"/>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r>
      <w:tr>
        <w:trPr>
          <w:trHeight w:val="142"/>
        </w:trPr>
        <w:tc>
          <w:tcPr>
            <w:tcW w:w="1560" w:type="dxa"/>
            <w:vAlign w:val="bottom"/>
            <w:tcBorders>
              <w:bottom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4"/>
                <w:szCs w:val="14"/>
                <w:color w:val="0000EE"/>
                <w:w w:val="94"/>
              </w:rPr>
              <w:t>PROSPECTUS SUMMARY</w:t>
            </w:r>
          </w:p>
        </w:tc>
        <w:tc>
          <w:tcPr>
            <w:tcW w:w="4600" w:type="dxa"/>
            <w:vAlign w:val="bottom"/>
            <w:gridSpan w:val="5"/>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r>
      <w:tr>
        <w:trPr>
          <w:trHeight w:val="142"/>
        </w:trPr>
        <w:tc>
          <w:tcPr>
            <w:tcW w:w="616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0000EE"/>
              </w:rPr>
              <w:t>RISK FACTORS</w:t>
            </w: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2"/>
        </w:trPr>
        <w:tc>
          <w:tcPr>
            <w:tcW w:w="1200" w:type="dxa"/>
            <w:vAlign w:val="bottom"/>
            <w:tcBorders>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4"/>
                <w:szCs w:val="14"/>
                <w:color w:val="0000EE"/>
                <w:w w:val="95"/>
              </w:rPr>
              <w:t>USE OF PROCEEDS</w:t>
            </w:r>
          </w:p>
        </w:tc>
        <w:tc>
          <w:tcPr>
            <w:tcW w:w="4960" w:type="dxa"/>
            <w:vAlign w:val="bottom"/>
            <w:gridSpan w:val="7"/>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r>
      <w:tr>
        <w:trPr>
          <w:trHeight w:val="142"/>
        </w:trPr>
        <w:tc>
          <w:tcPr>
            <w:tcW w:w="118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EE"/>
                <w:w w:val="94"/>
              </w:rPr>
              <w:t>DIVIDEND POLICY</w:t>
            </w:r>
          </w:p>
        </w:tc>
        <w:tc>
          <w:tcPr>
            <w:tcW w:w="4980" w:type="dxa"/>
            <w:vAlign w:val="bottom"/>
            <w:gridSpan w:val="8"/>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r>
      <w:tr>
        <w:trPr>
          <w:trHeight w:val="142"/>
        </w:trPr>
        <w:tc>
          <w:tcPr>
            <w:tcW w:w="616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0000EE"/>
              </w:rPr>
              <w:t>PLAN OF DISTRIBUTION</w:t>
            </w: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r>
      <w:tr>
        <w:trPr>
          <w:trHeight w:val="142"/>
        </w:trPr>
        <w:tc>
          <w:tcPr>
            <w:tcW w:w="1520" w:type="dxa"/>
            <w:vAlign w:val="bottom"/>
            <w:tcBorders>
              <w:top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EE"/>
              </w:rPr>
              <w:t>LEGAL MATTERS</w:t>
            </w:r>
          </w:p>
        </w:tc>
        <w:tc>
          <w:tcPr>
            <w:tcW w:w="4640" w:type="dxa"/>
            <w:vAlign w:val="bottom"/>
            <w:gridSpan w:val="6"/>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r>
      <w:tr>
        <w:trPr>
          <w:trHeight w:val="142"/>
        </w:trPr>
        <w:tc>
          <w:tcPr>
            <w:tcW w:w="1080" w:type="dxa"/>
            <w:vAlign w:val="bottom"/>
            <w:tcBorders>
              <w:top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4"/>
                <w:szCs w:val="14"/>
                <w:color w:val="0000EE"/>
              </w:rPr>
              <w:t>EXPERTS</w:t>
            </w:r>
          </w:p>
        </w:tc>
        <w:tc>
          <w:tcPr>
            <w:tcW w:w="5080" w:type="dxa"/>
            <w:vAlign w:val="bottom"/>
            <w:gridSpan w:val="9"/>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r>
      <w:tr>
        <w:trPr>
          <w:trHeight w:val="20"/>
        </w:trPr>
        <w:tc>
          <w:tcPr>
            <w:tcW w:w="560" w:type="dxa"/>
            <w:vAlign w:val="bottom"/>
            <w:shd w:val="clear" w:color="auto" w:fill="0000EE"/>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2"/>
        </w:trPr>
        <w:tc>
          <w:tcPr>
            <w:tcW w:w="2860" w:type="dxa"/>
            <w:vAlign w:val="bottom"/>
            <w:tcBorders>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4"/>
                <w:szCs w:val="14"/>
                <w:color w:val="0000EE"/>
                <w:w w:val="95"/>
              </w:rPr>
              <w:t>WHERE YOU CAN FIND MORE INFORMATION</w:t>
            </w:r>
          </w:p>
        </w:tc>
        <w:tc>
          <w:tcPr>
            <w:tcW w:w="3300" w:type="dxa"/>
            <w:vAlign w:val="bottom"/>
            <w:gridSpan w:val="3"/>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r>
      <w:tr>
        <w:trPr>
          <w:trHeight w:val="142"/>
        </w:trPr>
        <w:tc>
          <w:tcPr>
            <w:tcW w:w="3880" w:type="dxa"/>
            <w:vAlign w:val="bottom"/>
            <w:tcBorders>
              <w:bottom w:val="single" w:sz="8" w:color="0000EE"/>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EE"/>
                <w:w w:val="94"/>
              </w:rPr>
              <w:t>INCORPORATION OF CERTAIN INFORMATION BY REFERENCE</w:t>
            </w:r>
          </w:p>
        </w:tc>
        <w:tc>
          <w:tcPr>
            <w:tcW w:w="2280" w:type="dxa"/>
            <w:vAlign w:val="bottom"/>
            <w:gridSpan w:val="2"/>
          </w:tcPr>
          <w:p>
            <w:pPr>
              <w:spacing w:after="0"/>
              <w:rPr>
                <w:sz w:val="12"/>
                <w:szCs w:val="12"/>
                <w:color w:val="auto"/>
              </w:rPr>
            </w:pP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r>
    </w:tbl>
    <w:p>
      <w:pPr>
        <w:sectPr>
          <w:pgSz w:w="11900" w:h="16838" w:orient="portrait"/>
          <w:cols w:equalWidth="0" w:num="1">
            <w:col w:w="10159"/>
          </w:cols>
          <w:pgMar w:left="300" w:top="37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7" w:lineRule="exact"/>
        <w:rPr>
          <w:sz w:val="20"/>
          <w:szCs w:val="20"/>
          <w:color w:val="auto"/>
        </w:rPr>
      </w:pPr>
    </w:p>
    <w:p>
      <w:pPr>
        <w:ind w:left="1520" w:right="519"/>
        <w:spacing w:after="0" w:line="313" w:lineRule="auto"/>
        <w:rPr>
          <w:sz w:val="20"/>
          <w:szCs w:val="20"/>
          <w:color w:val="auto"/>
        </w:rPr>
      </w:pPr>
      <w:r>
        <w:rPr>
          <w:rFonts w:ascii="Times New Roman" w:cs="Times New Roman" w:eastAsia="Times New Roman" w:hAnsi="Times New Roman"/>
          <w:sz w:val="12"/>
          <w:szCs w:val="12"/>
          <w:color w:val="auto"/>
        </w:rPr>
        <w:t>This prospectus and the accompanying base prospectus are part of a registration statement on Form S-3 that we filed with the Securities and Exchange Commission, or the SEC, using a “shelf” registration process. Under this prospectus, we may offer shares of our common stock having an aggregate offering price of up to $100,000,000 from time to time at prices and on terms to be determined by market conditions at the time of offering.</w:t>
      </w:r>
    </w:p>
    <w:p>
      <w:pPr>
        <w:spacing w:after="0" w:line="108" w:lineRule="exact"/>
        <w:rPr>
          <w:sz w:val="20"/>
          <w:szCs w:val="20"/>
          <w:color w:val="auto"/>
        </w:rPr>
      </w:pPr>
    </w:p>
    <w:p>
      <w:pPr>
        <w:ind w:left="1520" w:right="479"/>
        <w:spacing w:after="0" w:line="248" w:lineRule="auto"/>
        <w:rPr>
          <w:sz w:val="20"/>
          <w:szCs w:val="20"/>
          <w:color w:val="auto"/>
        </w:rPr>
      </w:pPr>
      <w:r>
        <w:rPr>
          <w:rFonts w:ascii="Times New Roman" w:cs="Times New Roman" w:eastAsia="Times New Roman" w:hAnsi="Times New Roman"/>
          <w:sz w:val="14"/>
          <w:szCs w:val="14"/>
          <w:color w:val="auto"/>
        </w:rPr>
        <w:t>Before buying any of the shares of common stock offered hereby, we urge you to read carefully this prospectus, the accompanying base prospectus and all of the information incorporated herein by reference in this prospectus and the accompanying base prospectus, as well as the additional information described below under the heading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These documents contain important information that you should consider when making your investment decision.</w:t>
      </w:r>
    </w:p>
    <w:p>
      <w:pPr>
        <w:spacing w:after="0" w:line="145" w:lineRule="exact"/>
        <w:rPr>
          <w:sz w:val="20"/>
          <w:szCs w:val="20"/>
          <w:color w:val="auto"/>
        </w:rPr>
      </w:pPr>
    </w:p>
    <w:p>
      <w:pPr>
        <w:ind w:left="1520" w:right="519"/>
        <w:spacing w:after="0" w:line="290" w:lineRule="auto"/>
        <w:rPr>
          <w:sz w:val="20"/>
          <w:szCs w:val="20"/>
          <w:color w:val="auto"/>
        </w:rPr>
      </w:pPr>
      <w:r>
        <w:rPr>
          <w:rFonts w:ascii="Times New Roman" w:cs="Times New Roman" w:eastAsia="Times New Roman" w:hAnsi="Times New Roman"/>
          <w:sz w:val="12"/>
          <w:szCs w:val="12"/>
          <w:color w:val="auto"/>
        </w:rPr>
        <w:t>We provide information to you about this offering of our common stock in two separate documents that are bound together: (1) this prospectus,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is inconsistent with the accompanying base prospectus, you should rely on this prospectus. 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25" w:lineRule="exact"/>
        <w:rPr>
          <w:sz w:val="20"/>
          <w:szCs w:val="20"/>
          <w:color w:val="auto"/>
        </w:rPr>
      </w:pPr>
    </w:p>
    <w:p>
      <w:pPr>
        <w:ind w:left="1520" w:right="379"/>
        <w:spacing w:after="0" w:line="294" w:lineRule="auto"/>
        <w:rPr>
          <w:sz w:val="20"/>
          <w:szCs w:val="20"/>
          <w:color w:val="auto"/>
        </w:rPr>
      </w:pPr>
      <w:r>
        <w:rPr>
          <w:rFonts w:ascii="Times New Roman" w:cs="Times New Roman" w:eastAsia="Times New Roman" w:hAnsi="Times New Roman"/>
          <w:sz w:val="12"/>
          <w:szCs w:val="12"/>
          <w:color w:val="auto"/>
        </w:rPr>
        <w:t>We have not, and the sales agent has not, authorized anyone to provide you with information other than the information that we have provided or incorporated by reference in this prospectus, the accompanying base prospectus or any other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20" w:lineRule="exact"/>
        <w:rPr>
          <w:sz w:val="20"/>
          <w:szCs w:val="20"/>
          <w:color w:val="auto"/>
        </w:rPr>
      </w:pPr>
    </w:p>
    <w:p>
      <w:pPr>
        <w:ind w:left="1520" w:right="639"/>
        <w:spacing w:after="0" w:line="246"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8" w:lineRule="exact"/>
        <w:rPr>
          <w:sz w:val="20"/>
          <w:szCs w:val="20"/>
          <w:color w:val="auto"/>
        </w:rPr>
      </w:pPr>
    </w:p>
    <w:p>
      <w:pPr>
        <w:ind w:left="1520" w:right="399"/>
        <w:spacing w:after="0" w:line="261" w:lineRule="auto"/>
        <w:rPr>
          <w:sz w:val="20"/>
          <w:szCs w:val="20"/>
          <w:color w:val="auto"/>
        </w:rPr>
      </w:pPr>
      <w:r>
        <w:rPr>
          <w:rFonts w:ascii="Times New Roman" w:cs="Times New Roman" w:eastAsia="Times New Roman" w:hAnsi="Times New Roman"/>
          <w:sz w:val="14"/>
          <w:szCs w:val="14"/>
          <w:color w:val="auto"/>
        </w:rPr>
        <w:t>When used in this prospectus, the terms “PepGen,” “we,” “our” and “us” refer to PepGen Inc., a Delaware corporation, and its consolidated subsidiaries, unless otherwise specified or the context otherwise requires.</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7" w:lineRule="exact"/>
        <w:rPr>
          <w:sz w:val="20"/>
          <w:szCs w:val="20"/>
          <w:color w:val="auto"/>
        </w:rPr>
      </w:pPr>
    </w:p>
    <w:p>
      <w:pPr>
        <w:ind w:left="1520" w:right="399"/>
        <w:spacing w:after="0" w:line="243" w:lineRule="auto"/>
        <w:rPr>
          <w:sz w:val="20"/>
          <w:szCs w:val="20"/>
          <w:color w:val="auto"/>
        </w:rPr>
      </w:pPr>
      <w:r>
        <w:rPr>
          <w:rFonts w:ascii="Times New Roman" w:cs="Times New Roman" w:eastAsia="Times New Roman" w:hAnsi="Times New Roman"/>
          <w:sz w:val="14"/>
          <w:szCs w:val="14"/>
          <w:color w:val="auto"/>
        </w:rPr>
        <w:t>This prospectus, the accompanying base prospectus and the documents incorporated by reference in this prospectus and the accompanying base prospectus, include and incorporate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or incorporated by reference in this prospectus and the accompanying base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include, among other things:</w:t>
      </w:r>
    </w:p>
    <w:p>
      <w:pPr>
        <w:spacing w:after="0" w:line="80" w:lineRule="exact"/>
        <w:rPr>
          <w:sz w:val="20"/>
          <w:szCs w:val="20"/>
          <w:color w:val="auto"/>
        </w:rPr>
      </w:pPr>
    </w:p>
    <w:p>
      <w:pPr>
        <w:ind w:left="2240" w:right="499" w:hanging="324"/>
        <w:spacing w:after="0" w:line="251" w:lineRule="auto"/>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and the period during which the results of our clinical trials will become available;</w:t>
      </w:r>
    </w:p>
    <w:p>
      <w:pPr>
        <w:spacing w:after="0" w:line="7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develop our existing product candidate and discover new product candidates;</w:t>
      </w:r>
    </w:p>
    <w:p>
      <w:pPr>
        <w:spacing w:after="0" w:line="92" w:lineRule="exact"/>
        <w:rPr>
          <w:rFonts w:ascii="Times New Roman" w:cs="Times New Roman" w:eastAsia="Times New Roman" w:hAnsi="Times New Roman"/>
          <w:sz w:val="14"/>
          <w:szCs w:val="14"/>
          <w:color w:val="auto"/>
        </w:rPr>
      </w:pPr>
    </w:p>
    <w:p>
      <w:pPr>
        <w:ind w:left="2240" w:right="459" w:hanging="324"/>
        <w:spacing w:after="0" w:line="261" w:lineRule="auto"/>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manufacture our investigational drug substances and drug product for preclinical use, for clinical trials and on a larger scale for commercial use, if our investigational drug candidate or any new product candidates are approved;</w:t>
      </w:r>
    </w:p>
    <w:p>
      <w:pPr>
        <w:spacing w:after="0" w:line="65" w:lineRule="exact"/>
        <w:rPr>
          <w:rFonts w:ascii="Times New Roman" w:cs="Times New Roman" w:eastAsia="Times New Roman" w:hAnsi="Times New Roman"/>
          <w:sz w:val="14"/>
          <w:szCs w:val="14"/>
          <w:color w:val="auto"/>
        </w:rPr>
      </w:pPr>
    </w:p>
    <w:p>
      <w:pPr>
        <w:ind w:left="2240" w:right="499" w:hanging="324"/>
        <w:spacing w:after="0" w:line="261" w:lineRule="auto"/>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and commercialization of our existing product candidate or future product candidates;</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existing product candidate or future product candidates;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 candidates, if approved;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92" w:lineRule="exact"/>
        <w:rPr>
          <w:rFonts w:ascii="Times New Roman" w:cs="Times New Roman" w:eastAsia="Times New Roman" w:hAnsi="Times New Roman"/>
          <w:sz w:val="14"/>
          <w:szCs w:val="14"/>
          <w:color w:val="auto"/>
        </w:rPr>
      </w:pPr>
    </w:p>
    <w:p>
      <w:pPr>
        <w:ind w:left="2240" w:right="779" w:hanging="324"/>
        <w:spacing w:after="0" w:line="261" w:lineRule="auto"/>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our technology platform;</w:t>
      </w:r>
    </w:p>
    <w:p>
      <w:pPr>
        <w:spacing w:after="0" w:line="65"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or U.S., and foreign countries;</w:t>
      </w:r>
    </w:p>
    <w:p>
      <w:pPr>
        <w:spacing w:after="0" w:line="92" w:lineRule="exact"/>
        <w:rPr>
          <w:rFonts w:ascii="Times New Roman" w:cs="Times New Roman" w:eastAsia="Times New Roman" w:hAnsi="Times New Roman"/>
          <w:sz w:val="14"/>
          <w:szCs w:val="14"/>
          <w:color w:val="auto"/>
        </w:rPr>
      </w:pPr>
    </w:p>
    <w:p>
      <w:pPr>
        <w:ind w:left="2240" w:right="539" w:hanging="324"/>
        <w:spacing w:after="0" w:line="345" w:lineRule="auto"/>
        <w:tabs>
          <w:tab w:leader="none" w:pos="22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contract with third-party suppliers and manufacturers and their ability to perform adequately, and our ability to identify and contract with alternative third-party suppliers and manufacturers in a timely manner and on reasonable terms, if needed;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products or product candidates with advantages in turnaround times or manufacturing cost;</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research and development or management personnel;</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or future litigation;</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92" w:lineRule="exact"/>
        <w:rPr>
          <w:rFonts w:ascii="Times New Roman" w:cs="Times New Roman" w:eastAsia="Times New Roman" w:hAnsi="Times New Roman"/>
          <w:sz w:val="14"/>
          <w:szCs w:val="14"/>
          <w:color w:val="auto"/>
        </w:rPr>
      </w:pPr>
    </w:p>
    <w:p>
      <w:pPr>
        <w:ind w:left="2240" w:right="559" w:hanging="324"/>
        <w:spacing w:after="0" w:line="345" w:lineRule="auto"/>
        <w:tabs>
          <w:tab w:leader="none" w:pos="22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any epidemics or pandemics, including mitigation efforts and economic effects, on any of the foregoing or other aspects of our business operations, including but not limited to our preclinical studies and clinical trials and any future studies or trials; and</w:t>
      </w:r>
    </w:p>
    <w:p>
      <w:pPr>
        <w:spacing w:after="0" w:line="18" w:lineRule="exact"/>
        <w:rPr>
          <w:rFonts w:ascii="Times New Roman" w:cs="Times New Roman" w:eastAsia="Times New Roman" w:hAnsi="Times New Roman"/>
          <w:sz w:val="12"/>
          <w:szCs w:val="12"/>
          <w:color w:val="auto"/>
        </w:rPr>
      </w:pPr>
    </w:p>
    <w:p>
      <w:pPr>
        <w:ind w:left="2240" w:hanging="324"/>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“Risk Factors.”</w:t>
      </w:r>
    </w:p>
    <w:p>
      <w:pPr>
        <w:spacing w:after="0" w:line="163" w:lineRule="exact"/>
        <w:rPr>
          <w:sz w:val="20"/>
          <w:szCs w:val="20"/>
          <w:color w:val="auto"/>
        </w:rPr>
      </w:pPr>
    </w:p>
    <w:p>
      <w:pPr>
        <w:ind w:left="1520" w:right="399"/>
        <w:spacing w:after="0" w:line="243" w:lineRule="auto"/>
        <w:rPr>
          <w:sz w:val="20"/>
          <w:szCs w:val="20"/>
          <w:color w:val="auto"/>
        </w:rPr>
      </w:pPr>
      <w:r>
        <w:rPr>
          <w:rFonts w:ascii="Times New Roman" w:cs="Times New Roman" w:eastAsia="Times New Roman" w:hAnsi="Times New Roman"/>
          <w:sz w:val="14"/>
          <w:szCs w:val="14"/>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the accompanying base prospectus or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the accompanying base prospectus or any related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Market and Industry Data and Estimates</w:t>
      </w:r>
    </w:p>
    <w:p>
      <w:pPr>
        <w:spacing w:after="0" w:line="86" w:lineRule="exact"/>
        <w:rPr>
          <w:sz w:val="20"/>
          <w:szCs w:val="20"/>
          <w:color w:val="auto"/>
        </w:rPr>
      </w:pPr>
    </w:p>
    <w:p>
      <w:pPr>
        <w:ind w:left="1520" w:right="459"/>
        <w:spacing w:after="0" w:line="244" w:lineRule="auto"/>
        <w:rPr>
          <w:sz w:val="20"/>
          <w:szCs w:val="20"/>
          <w:color w:val="auto"/>
        </w:rPr>
      </w:pPr>
      <w:r>
        <w:rPr>
          <w:rFonts w:ascii="Times New Roman" w:cs="Times New Roman" w:eastAsia="Times New Roman" w:hAnsi="Times New Roman"/>
          <w:sz w:val="14"/>
          <w:szCs w:val="14"/>
          <w:color w:val="auto"/>
        </w:rPr>
        <w:t>This prospectus, together with the accompanying base prospectus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While we believe that each of these reports, research surveys and studies is reliable, and management is responsible for the accuracy of such information, we have not independently verified the accuracy and completeness of such data, and in some cases, we do not expressly refer to the sources from which these data are derived.</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86" w:lineRule="exact"/>
        <w:rPr>
          <w:sz w:val="20"/>
          <w:szCs w:val="20"/>
          <w:color w:val="auto"/>
        </w:rPr>
      </w:pPr>
    </w:p>
    <w:p>
      <w:pPr>
        <w:jc w:val="both"/>
        <w:ind w:left="1520" w:right="399"/>
        <w:spacing w:after="0" w:line="313" w:lineRule="auto"/>
        <w:rPr>
          <w:sz w:val="20"/>
          <w:szCs w:val="20"/>
          <w:color w:val="auto"/>
        </w:rPr>
      </w:pPr>
      <w:r>
        <w:rPr>
          <w:rFonts w:ascii="Times New Roman" w:cs="Times New Roman" w:eastAsia="Times New Roman" w:hAnsi="Times New Roman"/>
          <w:sz w:val="12"/>
          <w:szCs w:val="12"/>
          <w:color w:val="auto"/>
        </w:rPr>
        <w:t>PepGen Inc., the PepGen logo and our other registered or common law trademarks, trade names or service marks appearing in this prospectus are owned by us. This prospectus, the accompanying base prospectus and any information incorporated herein or therein may contain references to our trademarks and to trademarks belonging to other entities. Solely for convenience, trademarks and trade names referred to in this prospectus and the</w:t>
      </w:r>
    </w:p>
    <w:p>
      <w:pPr>
        <w:spacing w:after="0" w:line="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419"/>
        <w:spacing w:after="0" w:line="242" w:lineRule="auto"/>
        <w:rPr>
          <w:sz w:val="20"/>
          <w:szCs w:val="20"/>
          <w:color w:val="auto"/>
        </w:rPr>
      </w:pPr>
      <w:r>
        <w:rPr>
          <w:rFonts w:ascii="Times New Roman" w:cs="Times New Roman" w:eastAsia="Times New Roman" w:hAnsi="Times New Roman"/>
          <w:sz w:val="13"/>
          <w:szCs w:val="13"/>
          <w:color w:val="auto"/>
        </w:rPr>
        <w:t xml:space="preserve">accompanying base prospectus, including logos, artwork and other visual displays, generally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the accompanying base prospectus and any related free writing prospectus are the property of their respective owners.</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156210</wp:posOffset>
            </wp:positionV>
            <wp:extent cx="5255895" cy="4606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255895" cy="4606290"/>
                    </a:xfrm>
                    <a:prstGeom prst="rect">
                      <a:avLst/>
                    </a:prstGeom>
                    <a:noFill/>
                  </pic:spPr>
                </pic:pic>
              </a:graphicData>
            </a:graphic>
          </wp:anchor>
        </w:drawing>
      </w:r>
    </w:p>
    <w:p>
      <w:pPr>
        <w:spacing w:after="0" w:line="3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5" w:lineRule="exact"/>
        <w:rPr>
          <w:sz w:val="20"/>
          <w:szCs w:val="20"/>
          <w:color w:val="auto"/>
        </w:rPr>
      </w:pPr>
    </w:p>
    <w:p>
      <w:pPr>
        <w:ind w:left="1640" w:right="519"/>
        <w:spacing w:after="0" w:line="24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about us and this offering and does not contain all of the information that you should consider before investing in our common stock. You should read this prospectus and the accompanying base prospectus carefully, especially the risks of investing in our common stock discussed under “Risk Factors” beginning on page 9 of this prospectus, page 9 of the accompanying base prospectus, and our most recent Annual Report on Form 10-K and any subsequent Quarterly Reports on Form 10-Q or Current Reports on Form 8-K we file after the date of this prospectus, which are incorporated by reference in this prospectus, along with our consolidated financial statements and notes to those consolidated financial statements and the other information incorporated by reference in this prospectus and the accompanying base prospectus, before making an investment decision.</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86" w:lineRule="exact"/>
        <w:rPr>
          <w:sz w:val="20"/>
          <w:szCs w:val="20"/>
          <w:color w:val="auto"/>
        </w:rPr>
      </w:pPr>
    </w:p>
    <w:p>
      <w:pPr>
        <w:ind w:left="1640" w:right="599"/>
        <w:spacing w:after="0" w:line="246" w:lineRule="auto"/>
        <w:rPr>
          <w:sz w:val="20"/>
          <w:szCs w:val="20"/>
          <w:color w:val="auto"/>
        </w:rPr>
      </w:pPr>
      <w:r>
        <w:rPr>
          <w:rFonts w:ascii="Times New Roman" w:cs="Times New Roman" w:eastAsia="Times New Roman" w:hAnsi="Times New Roman"/>
          <w:sz w:val="14"/>
          <w:szCs w:val="14"/>
          <w:color w:val="auto"/>
        </w:rPr>
        <w:t>We are a clinical-stage biotechnology company advancing the next generation of oligonucleotide therapeutics with the goal of transforming the treatment of severe neuromuscular and neurologic diseases. Our proprietary Enhanced Delivery Oligonucleotide, or EDO, platform is founded on over a decade of research and development and leverages cell-penetrating peptides, or CPPs, to improve the uptake and activity of conjugated oligonucleotide therapeutics. Using these EDO peptides, our goal is to develop a research and development pipeline of oligonucleotide therapeutic candidates that are designed to target the root cause of serious diseases.</w:t>
      </w:r>
    </w:p>
    <w:p>
      <w:pPr>
        <w:spacing w:after="0" w:line="148" w:lineRule="exact"/>
        <w:rPr>
          <w:sz w:val="20"/>
          <w:szCs w:val="20"/>
          <w:color w:val="auto"/>
        </w:rPr>
      </w:pPr>
    </w:p>
    <w:p>
      <w:pPr>
        <w:jc w:val="both"/>
        <w:ind w:left="1640" w:right="539"/>
        <w:spacing w:after="0" w:line="246" w:lineRule="auto"/>
        <w:rPr>
          <w:sz w:val="20"/>
          <w:szCs w:val="20"/>
          <w:color w:val="auto"/>
        </w:rPr>
      </w:pPr>
      <w:r>
        <w:rPr>
          <w:rFonts w:ascii="Times New Roman" w:cs="Times New Roman" w:eastAsia="Times New Roman" w:hAnsi="Times New Roman"/>
          <w:sz w:val="14"/>
          <w:szCs w:val="14"/>
          <w:color w:val="auto"/>
        </w:rPr>
        <w:t>We are currently focused on addressing the underlying cause of myotonic dystrophy type 1, or DM1, a multi-systemic neuromuscular disease with high unmet need and no approved therapies. We are developing PGN-EDODM1 for the treatment of DM1 and are utilizing what we believe to be a unique mechanism of action and a different delivery approach compared to other approaches in more advanced stages of clinical development. We have conducted extensive preclinical studies of our product candidate, and these preclinical data form the basis of our clinical development plan for PGN-EDODM1.</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6" w:lineRule="exact"/>
        <w:rPr>
          <w:sz w:val="20"/>
          <w:szCs w:val="20"/>
          <w:color w:val="auto"/>
        </w:rPr>
      </w:pPr>
    </w:p>
    <w:p>
      <w:pPr>
        <w:ind w:left="1640" w:right="599"/>
        <w:spacing w:after="0" w:line="248" w:lineRule="auto"/>
        <w:rPr>
          <w:sz w:val="20"/>
          <w:szCs w:val="20"/>
          <w:color w:val="auto"/>
        </w:rPr>
      </w:pPr>
      <w:r>
        <w:rPr>
          <w:rFonts w:ascii="Times New Roman" w:cs="Times New Roman" w:eastAsia="Times New Roman" w:hAnsi="Times New Roman"/>
          <w:sz w:val="14"/>
          <w:szCs w:val="14"/>
          <w:color w:val="auto"/>
        </w:rPr>
        <w:t>We were initially formed as PepGen Limited on January 25, 2018 in the U.K., and on November 9, 2020, PepGen Limited initiated a corporate reorganization as part of which it formed PepGen Inc. in Delaware. PepGen Limited was dissolved on December 10, 2024. We completed our IPO in May 2022 and became listed on Nasdaq under the ticker symbol “PEPG.” Our principal executive offices are located at 321 Harrison Avenue, Boston MA 02118. Our telephone number is (781) 797-0979.</w:t>
      </w:r>
    </w:p>
    <w:p>
      <w:pPr>
        <w:spacing w:after="0" w:line="145" w:lineRule="exact"/>
        <w:rPr>
          <w:sz w:val="20"/>
          <w:szCs w:val="20"/>
          <w:color w:val="auto"/>
        </w:rPr>
      </w:pPr>
    </w:p>
    <w:p>
      <w:pPr>
        <w:ind w:left="1640" w:right="719"/>
        <w:spacing w:after="0" w:line="248" w:lineRule="auto"/>
        <w:rPr>
          <w:sz w:val="20"/>
          <w:szCs w:val="20"/>
          <w:color w:val="auto"/>
        </w:rPr>
      </w:pPr>
      <w:r>
        <w:rPr>
          <w:rFonts w:ascii="Times New Roman" w:cs="Times New Roman" w:eastAsia="Times New Roman" w:hAnsi="Times New Roman"/>
          <w:sz w:val="14"/>
          <w:szCs w:val="14"/>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640" w:right="619"/>
        <w:spacing w:after="0" w:line="261" w:lineRule="auto"/>
        <w:rPr>
          <w:sz w:val="20"/>
          <w:szCs w:val="20"/>
          <w:color w:val="auto"/>
        </w:rPr>
      </w:pPr>
      <w:r>
        <w:rPr>
          <w:rFonts w:ascii="Times New Roman" w:cs="Times New Roman" w:eastAsia="Times New Roman" w:hAnsi="Times New Roman"/>
          <w:sz w:val="14"/>
          <w:szCs w:val="14"/>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86" w:lineRule="exact"/>
        <w:rPr>
          <w:sz w:val="20"/>
          <w:szCs w:val="20"/>
          <w:color w:val="auto"/>
        </w:rPr>
      </w:pPr>
    </w:p>
    <w:p>
      <w:pPr>
        <w:ind w:left="1640" w:right="579"/>
        <w:spacing w:after="0" w:line="261"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as amended, or the JOBS Act. As an emerging growth company, we may take advantage of specified reduced</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156210</wp:posOffset>
            </wp:positionV>
            <wp:extent cx="5255895" cy="3088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5255895" cy="3088005"/>
                    </a:xfrm>
                    <a:prstGeom prst="rect">
                      <a:avLst/>
                    </a:prstGeom>
                    <a:noFill/>
                  </pic:spPr>
                </pic:pic>
              </a:graphicData>
            </a:graphic>
          </wp:anchor>
        </w:drawing>
      </w:r>
    </w:p>
    <w:p>
      <w:pPr>
        <w:spacing w:after="0" w:line="3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disclosure and other requirements that are otherwise applicable generally to public companies. These provisions include:</w:t>
      </w:r>
    </w:p>
    <w:p>
      <w:pPr>
        <w:spacing w:after="0" w:line="92" w:lineRule="exact"/>
        <w:rPr>
          <w:sz w:val="20"/>
          <w:szCs w:val="20"/>
          <w:color w:val="auto"/>
        </w:rPr>
      </w:pPr>
    </w:p>
    <w:p>
      <w:pPr>
        <w:ind w:left="2340" w:right="599" w:hanging="297"/>
        <w:spacing w:after="0" w:line="251" w:lineRule="auto"/>
        <w:tabs>
          <w:tab w:leader="none" w:pos="2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72" w:lineRule="exact"/>
        <w:rPr>
          <w:rFonts w:ascii="Times New Roman" w:cs="Times New Roman" w:eastAsia="Times New Roman" w:hAnsi="Times New Roman"/>
          <w:sz w:val="14"/>
          <w:szCs w:val="14"/>
          <w:color w:val="auto"/>
        </w:rPr>
      </w:pPr>
    </w:p>
    <w:p>
      <w:pPr>
        <w:ind w:left="2340" w:hanging="297"/>
        <w:spacing w:after="0"/>
        <w:tabs>
          <w:tab w:leader="none" w:pos="2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92" w:lineRule="exact"/>
        <w:rPr>
          <w:rFonts w:ascii="Times New Roman" w:cs="Times New Roman" w:eastAsia="Times New Roman" w:hAnsi="Times New Roman"/>
          <w:sz w:val="14"/>
          <w:szCs w:val="14"/>
          <w:color w:val="auto"/>
        </w:rPr>
      </w:pPr>
    </w:p>
    <w:p>
      <w:pPr>
        <w:ind w:left="2340" w:right="919" w:hanging="297"/>
        <w:spacing w:after="0" w:line="261" w:lineRule="auto"/>
        <w:tabs>
          <w:tab w:leader="none" w:pos="2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 and</w:t>
      </w:r>
    </w:p>
    <w:p>
      <w:pPr>
        <w:spacing w:after="0" w:line="65" w:lineRule="exact"/>
        <w:rPr>
          <w:rFonts w:ascii="Times New Roman" w:cs="Times New Roman" w:eastAsia="Times New Roman" w:hAnsi="Times New Roman"/>
          <w:sz w:val="14"/>
          <w:szCs w:val="14"/>
          <w:color w:val="auto"/>
        </w:rPr>
      </w:pPr>
    </w:p>
    <w:p>
      <w:pPr>
        <w:ind w:left="2340" w:hanging="297"/>
        <w:spacing w:after="0"/>
        <w:tabs>
          <w:tab w:leader="none" w:pos="2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w:t>
      </w:r>
    </w:p>
    <w:p>
      <w:pPr>
        <w:spacing w:after="0" w:line="163" w:lineRule="exact"/>
        <w:rPr>
          <w:sz w:val="20"/>
          <w:szCs w:val="20"/>
          <w:color w:val="auto"/>
        </w:rPr>
      </w:pPr>
    </w:p>
    <w:p>
      <w:pPr>
        <w:ind w:left="1640" w:right="539"/>
        <w:spacing w:after="0" w:line="243" w:lineRule="auto"/>
        <w:rPr>
          <w:sz w:val="20"/>
          <w:szCs w:val="20"/>
          <w:color w:val="auto"/>
        </w:rPr>
      </w:pPr>
      <w:r>
        <w:rPr>
          <w:rFonts w:ascii="Times New Roman" w:cs="Times New Roman" w:eastAsia="Times New Roman" w:hAnsi="Times New Roman"/>
          <w:sz w:val="14"/>
          <w:szCs w:val="14"/>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2027;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w:t>
      </w:r>
    </w:p>
    <w:p>
      <w:pPr>
        <w:spacing w:after="0" w:line="152" w:lineRule="exact"/>
        <w:rPr>
          <w:sz w:val="20"/>
          <w:szCs w:val="20"/>
          <w:color w:val="auto"/>
        </w:rPr>
      </w:pPr>
    </w:p>
    <w:p>
      <w:pPr>
        <w:ind w:left="1640" w:right="599"/>
        <w:spacing w:after="0" w:line="297" w:lineRule="auto"/>
        <w:rPr>
          <w:sz w:val="20"/>
          <w:szCs w:val="20"/>
          <w:color w:val="auto"/>
        </w:rPr>
      </w:pPr>
      <w:r>
        <w:rPr>
          <w:rFonts w:ascii="Times New Roman" w:cs="Times New Roman" w:eastAsia="Times New Roman" w:hAnsi="Times New Roman"/>
          <w:sz w:val="12"/>
          <w:szCs w:val="12"/>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156210</wp:posOffset>
            </wp:positionV>
            <wp:extent cx="5255895" cy="4354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255895" cy="4354830"/>
                    </a:xfrm>
                    <a:prstGeom prst="rect">
                      <a:avLst/>
                    </a:prstGeom>
                    <a:noFill/>
                  </pic:spPr>
                </pic:pic>
              </a:graphicData>
            </a:graphic>
          </wp:anchor>
        </w:drawing>
      </w:r>
    </w:p>
    <w:p>
      <w:pPr>
        <w:spacing w:after="0" w:line="3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83" w:lineRule="exact"/>
        <w:rPr>
          <w:sz w:val="20"/>
          <w:szCs w:val="20"/>
          <w:color w:val="auto"/>
        </w:rPr>
      </w:pPr>
    </w:p>
    <w:p>
      <w:pPr>
        <w:ind w:left="1640"/>
        <w:spacing w:after="0"/>
        <w:tabs>
          <w:tab w:leader="none" w:pos="4660" w:val="left"/>
        </w:tabs>
        <w:rPr>
          <w:sz w:val="20"/>
          <w:szCs w:val="20"/>
          <w:color w:val="auto"/>
        </w:rPr>
      </w:pPr>
      <w:r>
        <w:rPr>
          <w:rFonts w:ascii="Times New Roman" w:cs="Times New Roman" w:eastAsia="Times New Roman" w:hAnsi="Times New Roman"/>
          <w:sz w:val="14"/>
          <w:szCs w:val="14"/>
          <w:b w:val="1"/>
          <w:bCs w:val="1"/>
          <w:color w:val="auto"/>
        </w:rPr>
        <w:t>Common stock offered by us</w:t>
      </w:r>
      <w:r>
        <w:rPr>
          <w:sz w:val="20"/>
          <w:szCs w:val="20"/>
          <w:color w:val="auto"/>
        </w:rPr>
        <w:tab/>
      </w:r>
      <w:r>
        <w:rPr>
          <w:rFonts w:ascii="Times New Roman" w:cs="Times New Roman" w:eastAsia="Times New Roman" w:hAnsi="Times New Roman"/>
          <w:sz w:val="12"/>
          <w:szCs w:val="12"/>
          <w:color w:val="auto"/>
        </w:rPr>
        <w:t>Shares of our common stock having an aggregate offering price of up to $100,000,000.</w:t>
      </w:r>
    </w:p>
    <w:p>
      <w:pPr>
        <w:spacing w:after="0" w:line="194" w:lineRule="exact"/>
        <w:rPr>
          <w:sz w:val="20"/>
          <w:szCs w:val="20"/>
          <w:color w:val="auto"/>
        </w:rPr>
      </w:pPr>
    </w:p>
    <w:p>
      <w:pPr>
        <w:ind w:left="4680" w:right="559" w:hanging="3027"/>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Common stock to be outstanding after this offering </w:t>
      </w:r>
      <w:r>
        <w:rPr>
          <w:rFonts w:ascii="Times New Roman" w:cs="Times New Roman" w:eastAsia="Times New Roman" w:hAnsi="Times New Roman"/>
          <w:sz w:val="14"/>
          <w:szCs w:val="14"/>
          <w:color w:val="auto"/>
        </w:rPr>
        <w:t>Up to 133,684,087 shares, assuming sales of 64,516,129 shares of our common stock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offering at an offering price of $1.55 per share, which was the last reported sale price of our common stock on The Nasdaq Global Select Market on May 15, 2026. The actual number of shares of common stock issued will vary depending on the sales price under this offering.</w:t>
      </w:r>
    </w:p>
    <w:p>
      <w:pPr>
        <w:sectPr>
          <w:pgSz w:w="11900" w:h="16838" w:orient="portrait"/>
          <w:cols w:equalWidth="0" w:num="1">
            <w:col w:w="10159"/>
          </w:cols>
          <w:pgMar w:left="300" w:top="376" w:right="1440" w:bottom="1440" w:gutter="0" w:footer="0" w:header="0"/>
        </w:sectPr>
      </w:pPr>
    </w:p>
    <w:p>
      <w:pPr>
        <w:spacing w:after="0" w:line="16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59"/>
        <w:spacing w:after="0" w:line="248" w:lineRule="auto"/>
        <w:rPr>
          <w:sz w:val="20"/>
          <w:szCs w:val="20"/>
          <w:color w:val="auto"/>
        </w:rPr>
      </w:pPr>
      <w:r>
        <w:rPr>
          <w:rFonts w:ascii="Times New Roman" w:cs="Times New Roman" w:eastAsia="Times New Roman" w:hAnsi="Times New Roman"/>
          <w:sz w:val="14"/>
          <w:szCs w:val="14"/>
          <w:color w:val="auto"/>
        </w:rPr>
        <w:t>“At the market offering” that may be made from time to time on The Nasdaq Global Select Market or such other national securities exchange on which our common stock is then listed, through our sales agent, Stifel. See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on page 16 of this prospectus.</w:t>
      </w:r>
    </w:p>
    <w:p>
      <w:pPr>
        <w:spacing w:after="0" w:line="161" w:lineRule="exact"/>
        <w:rPr>
          <w:sz w:val="20"/>
          <w:szCs w:val="20"/>
          <w:color w:val="auto"/>
        </w:rPr>
      </w:pPr>
    </w:p>
    <w:p>
      <w:pPr>
        <w:sectPr>
          <w:pgSz w:w="11900" w:h="16838" w:orient="portrait"/>
          <w:cols w:equalWidth="0" w:num="2">
            <w:col w:w="3960" w:space="720"/>
            <w:col w:w="5479"/>
          </w:cols>
          <w:pgMar w:left="300" w:top="376"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20" w:lineRule="exact"/>
        <w:rPr>
          <w:sz w:val="20"/>
          <w:szCs w:val="20"/>
          <w:color w:val="auto"/>
        </w:rPr>
      </w:pPr>
      <w:r>
        <w:rPr>
          <w:sz w:val="20"/>
          <w:szCs w:val="20"/>
          <w:color w:val="auto"/>
        </w:rPr>
        <w:br w:type="column"/>
      </w:r>
    </w:p>
    <w:p>
      <w:pPr>
        <w:ind w:right="539"/>
        <w:spacing w:after="0" w:line="244"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together with our existing cash, cash equivalents and marketable securities,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on page 12 of this prospectus.</w:t>
      </w:r>
    </w:p>
    <w:p>
      <w:pPr>
        <w:spacing w:after="0" w:line="167" w:lineRule="exact"/>
        <w:rPr>
          <w:sz w:val="20"/>
          <w:szCs w:val="20"/>
          <w:color w:val="auto"/>
        </w:rPr>
      </w:pPr>
    </w:p>
    <w:p>
      <w:pPr>
        <w:sectPr>
          <w:pgSz w:w="11900" w:h="16838" w:orient="portrait"/>
          <w:cols w:equalWidth="0" w:num="2">
            <w:col w:w="3960" w:space="720"/>
            <w:col w:w="5479"/>
          </w:cols>
          <w:pgMar w:left="300" w:top="376"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20" w:lineRule="exact"/>
        <w:rPr>
          <w:sz w:val="20"/>
          <w:szCs w:val="20"/>
          <w:color w:val="auto"/>
        </w:rPr>
      </w:pPr>
      <w:r>
        <w:rPr>
          <w:sz w:val="20"/>
          <w:szCs w:val="20"/>
          <w:color w:val="auto"/>
        </w:rPr>
        <w:br w:type="column"/>
      </w:r>
    </w:p>
    <w:p>
      <w:pPr>
        <w:ind w:right="619"/>
        <w:spacing w:after="0" w:line="315" w:lineRule="auto"/>
        <w:rPr>
          <w:sz w:val="20"/>
          <w:szCs w:val="20"/>
          <w:color w:val="auto"/>
        </w:rPr>
      </w:pPr>
      <w:r>
        <w:rPr>
          <w:rFonts w:ascii="Times New Roman" w:cs="Times New Roman" w:eastAsia="Times New Roman" w:hAnsi="Times New Roman"/>
          <w:sz w:val="12"/>
          <w:szCs w:val="12"/>
          <w:color w:val="auto"/>
        </w:rPr>
        <w:t>You should read the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section of this prospectus beginning on page 9 and other information included in, or incorporated by reference into, this prospectus for a discussion of factors to consider before deciding to purchase shares of our common stock.</w:t>
      </w:r>
    </w:p>
    <w:p>
      <w:pPr>
        <w:spacing w:after="0" w:line="123" w:lineRule="exact"/>
        <w:rPr>
          <w:sz w:val="20"/>
          <w:szCs w:val="20"/>
          <w:color w:val="auto"/>
        </w:rPr>
      </w:pPr>
    </w:p>
    <w:p>
      <w:pPr>
        <w:sectPr>
          <w:pgSz w:w="11900" w:h="16838" w:orient="portrait"/>
          <w:cols w:equalWidth="0" w:num="2">
            <w:col w:w="3960" w:space="720"/>
            <w:col w:w="5479"/>
          </w:cols>
          <w:pgMar w:left="300" w:top="376"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“PEPG”</w:t>
      </w:r>
    </w:p>
    <w:p>
      <w:pPr>
        <w:spacing w:after="0" w:line="196" w:lineRule="exact"/>
        <w:rPr>
          <w:sz w:val="20"/>
          <w:szCs w:val="20"/>
          <w:color w:val="auto"/>
        </w:rPr>
      </w:pPr>
    </w:p>
    <w:p>
      <w:pPr>
        <w:sectPr>
          <w:pgSz w:w="11900" w:h="16838" w:orient="portrait"/>
          <w:cols w:equalWidth="0" w:num="2">
            <w:col w:w="3960" w:space="720"/>
            <w:col w:w="5479"/>
          </w:cols>
          <w:pgMar w:left="300" w:top="376" w:right="1440" w:bottom="1440" w:gutter="0" w:footer="0" w:header="0"/>
          <w:type w:val="continuous"/>
        </w:sectPr>
      </w:pPr>
    </w:p>
    <w:p>
      <w:pPr>
        <w:ind w:left="1640" w:right="519"/>
        <w:spacing w:after="0" w:line="251" w:lineRule="auto"/>
        <w:rPr>
          <w:sz w:val="20"/>
          <w:szCs w:val="20"/>
          <w:color w:val="auto"/>
        </w:rPr>
      </w:pPr>
      <w:r>
        <w:rPr>
          <w:rFonts w:ascii="Times New Roman" w:cs="Times New Roman" w:eastAsia="Times New Roman" w:hAnsi="Times New Roman"/>
          <w:sz w:val="14"/>
          <w:szCs w:val="14"/>
          <w:color w:val="auto"/>
        </w:rPr>
        <w:t>All information in this prospectus related to the number of shares of our common stock to be outstanding immediately after this offering is based on 69,167,958 shares of our common stock outstanding as of March 31, 2026. The number of shares outstanding as of March 31, 2026 as used throughout this prospectus, unless otherwise indicated, excludes:</w:t>
      </w:r>
    </w:p>
    <w:p>
      <w:pPr>
        <w:spacing w:after="0" w:line="72" w:lineRule="exact"/>
        <w:rPr>
          <w:sz w:val="20"/>
          <w:szCs w:val="20"/>
          <w:color w:val="auto"/>
        </w:rPr>
      </w:pPr>
    </w:p>
    <w:p>
      <w:pPr>
        <w:ind w:left="2340" w:right="959" w:hanging="297"/>
        <w:spacing w:after="0" w:line="261" w:lineRule="auto"/>
        <w:tabs>
          <w:tab w:leader="none" w:pos="2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8,153,885 shares of common stock issuable upon the exercise of stock options outstanding as of March 31, 2026, at a weighted average exercise price of $5.14 per share;</w:t>
      </w:r>
    </w:p>
    <w:p>
      <w:pPr>
        <w:spacing w:after="0" w:line="65" w:lineRule="exact"/>
        <w:rPr>
          <w:rFonts w:ascii="Times New Roman" w:cs="Times New Roman" w:eastAsia="Times New Roman" w:hAnsi="Times New Roman"/>
          <w:sz w:val="14"/>
          <w:szCs w:val="14"/>
          <w:color w:val="auto"/>
        </w:rPr>
      </w:pPr>
    </w:p>
    <w:p>
      <w:pPr>
        <w:ind w:left="2340" w:right="859" w:hanging="297"/>
        <w:spacing w:after="0" w:line="261" w:lineRule="auto"/>
        <w:tabs>
          <w:tab w:leader="none" w:pos="2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19,400 shares of common stock issuable upon the exercise of stock options granted subsequent to March 31, 2026, at a weighted average exercise price of $1.73 per share;</w:t>
      </w:r>
    </w:p>
    <w:p>
      <w:pPr>
        <w:spacing w:after="0" w:line="65" w:lineRule="exact"/>
        <w:rPr>
          <w:rFonts w:ascii="Times New Roman" w:cs="Times New Roman" w:eastAsia="Times New Roman" w:hAnsi="Times New Roman"/>
          <w:sz w:val="14"/>
          <w:szCs w:val="14"/>
          <w:color w:val="auto"/>
        </w:rPr>
      </w:pPr>
    </w:p>
    <w:p>
      <w:pPr>
        <w:ind w:left="2340" w:right="579" w:hanging="297"/>
        <w:spacing w:after="0" w:line="261" w:lineRule="auto"/>
        <w:tabs>
          <w:tab w:leader="none" w:pos="2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2,257,181 shares of common stock available for future issuance under our 2022 Stock Option and Incentive Plan, or the 2022 Plan, as of March 31, 2026;</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6"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156210</wp:posOffset>
            </wp:positionV>
            <wp:extent cx="5255895" cy="1061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5255895" cy="1061085"/>
                    </a:xfrm>
                    <a:prstGeom prst="rect">
                      <a:avLst/>
                    </a:prstGeom>
                    <a:noFill/>
                  </pic:spPr>
                </pic:pic>
              </a:graphicData>
            </a:graphic>
          </wp:anchor>
        </w:drawing>
      </w:r>
    </w:p>
    <w:p>
      <w:pPr>
        <w:spacing w:after="0" w:line="350" w:lineRule="exact"/>
        <w:rPr>
          <w:sz w:val="20"/>
          <w:szCs w:val="20"/>
          <w:color w:val="auto"/>
        </w:rPr>
      </w:pPr>
    </w:p>
    <w:p>
      <w:pPr>
        <w:ind w:left="2340" w:right="759" w:hanging="297"/>
        <w:spacing w:after="0" w:line="261" w:lineRule="auto"/>
        <w:tabs>
          <w:tab w:leader="none" w:pos="2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1,210,579 shares of common stock available for future issuance under our 2022 Employee Stock Purchase Plan, or the ESPP, as of March 31, 2026; and</w:t>
      </w:r>
    </w:p>
    <w:p>
      <w:pPr>
        <w:spacing w:after="0" w:line="65" w:lineRule="exact"/>
        <w:rPr>
          <w:rFonts w:ascii="Times New Roman" w:cs="Times New Roman" w:eastAsia="Times New Roman" w:hAnsi="Times New Roman"/>
          <w:sz w:val="14"/>
          <w:szCs w:val="14"/>
          <w:color w:val="auto"/>
        </w:rPr>
      </w:pPr>
    </w:p>
    <w:p>
      <w:pPr>
        <w:ind w:left="2340" w:right="1019" w:hanging="297"/>
        <w:spacing w:after="0" w:line="261" w:lineRule="auto"/>
        <w:tabs>
          <w:tab w:leader="none" w:pos="2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637,184 shares of common stock available for future issuance under our 2024 Inducement Plan, or the Inducement Plan, as of March 31, 2026.</w:t>
      </w:r>
    </w:p>
    <w:p>
      <w:pPr>
        <w:spacing w:after="0" w:line="136" w:lineRule="exact"/>
        <w:rPr>
          <w:sz w:val="20"/>
          <w:szCs w:val="20"/>
          <w:color w:val="auto"/>
        </w:rPr>
      </w:pPr>
    </w:p>
    <w:p>
      <w:pPr>
        <w:ind w:left="1640" w:right="599"/>
        <w:spacing w:after="0" w:line="251" w:lineRule="auto"/>
        <w:rPr>
          <w:sz w:val="20"/>
          <w:szCs w:val="20"/>
          <w:color w:val="auto"/>
        </w:rPr>
      </w:pPr>
      <w:r>
        <w:rPr>
          <w:rFonts w:ascii="Times New Roman" w:cs="Times New Roman" w:eastAsia="Times New Roman" w:hAnsi="Times New Roman"/>
          <w:sz w:val="14"/>
          <w:szCs w:val="14"/>
          <w:color w:val="auto"/>
        </w:rPr>
        <w:t>Unless otherwise stated, all information contained in this prospectus (i) assumes no exercise of stock options after March 31, 2026 and (ii) reflects an assumed public offering price of $1.55, which was the last reported sale price of our common stock on The Nasdaq Global Select Market on May 15, 2026.</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5" w:lineRule="exact"/>
        <w:rPr>
          <w:sz w:val="20"/>
          <w:szCs w:val="20"/>
          <w:color w:val="auto"/>
        </w:rPr>
      </w:pPr>
    </w:p>
    <w:p>
      <w:pPr>
        <w:ind w:left="1520" w:right="459"/>
        <w:spacing w:after="0" w:line="245"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Before you decide to invest in our common stock, you should carefully consider the risks and uncertainties described below and in our most recent Annual Report on Form 10-K, and any subsequent Quarterly Reports on Form 10-Q or Current Reports on Form 8-K we file after the date of this prospectus, together with all other information contained in this prospectus, the accompanying base prospectus, and in our filings with the SEC that we have incorporated by reference in this prospectus and the accompanying base prospectus.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Additional Risks Related To Our Common Stock And This Offering</w:t>
      </w:r>
    </w:p>
    <w:p>
      <w:pPr>
        <w:spacing w:after="0" w:line="82" w:lineRule="exact"/>
        <w:rPr>
          <w:sz w:val="20"/>
          <w:szCs w:val="20"/>
          <w:color w:val="auto"/>
        </w:rPr>
      </w:pPr>
    </w:p>
    <w:p>
      <w:pPr>
        <w:ind w:left="1520" w:right="79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520" w:right="439"/>
        <w:spacing w:after="0" w:line="243" w:lineRule="auto"/>
        <w:rPr>
          <w:sz w:val="20"/>
          <w:szCs w:val="20"/>
          <w:color w:val="auto"/>
        </w:rPr>
      </w:pPr>
      <w:r>
        <w:rPr>
          <w:rFonts w:ascii="Times New Roman" w:cs="Times New Roman" w:eastAsia="Times New Roman" w:hAnsi="Times New Roman"/>
          <w:sz w:val="14"/>
          <w:szCs w:val="14"/>
          <w:color w:val="auto"/>
        </w:rPr>
        <w:t>We currently expect to use the net proceeds of this offering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2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86" w:lineRule="exact"/>
        <w:rPr>
          <w:sz w:val="20"/>
          <w:szCs w:val="20"/>
          <w:color w:val="auto"/>
        </w:rPr>
      </w:pPr>
    </w:p>
    <w:p>
      <w:pPr>
        <w:ind w:left="1520" w:right="419"/>
        <w:spacing w:after="0" w:line="297" w:lineRule="auto"/>
        <w:rPr>
          <w:sz w:val="20"/>
          <w:szCs w:val="20"/>
          <w:color w:val="auto"/>
        </w:rPr>
      </w:pPr>
      <w:r>
        <w:rPr>
          <w:rFonts w:ascii="Times New Roman" w:cs="Times New Roman" w:eastAsia="Times New Roman" w:hAnsi="Times New Roman"/>
          <w:sz w:val="12"/>
          <w:szCs w:val="12"/>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96" w:lineRule="exact"/>
        <w:rPr>
          <w:sz w:val="20"/>
          <w:szCs w:val="20"/>
          <w:color w:val="auto"/>
        </w:rPr>
      </w:pPr>
    </w:p>
    <w:p>
      <w:pPr>
        <w:ind w:left="1520" w:right="39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and gross proceeds resulting from those sales, at any one time or in total, is uncertain.</w:t>
      </w:r>
    </w:p>
    <w:p>
      <w:pPr>
        <w:spacing w:after="0" w:line="86" w:lineRule="exact"/>
        <w:rPr>
          <w:sz w:val="20"/>
          <w:szCs w:val="20"/>
          <w:color w:val="auto"/>
        </w:rPr>
      </w:pPr>
    </w:p>
    <w:p>
      <w:pPr>
        <w:ind w:left="1520" w:right="439"/>
        <w:spacing w:after="0" w:line="245"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Stifel at any time throughout the term of the Sales Agreement. The number of shares that are sold by Stifel after delivering a placement notice will fluctuate based on the market price of our common stock during the sales period and limits we set with Stifel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26" w:lineRule="exact"/>
        <w:rPr>
          <w:sz w:val="20"/>
          <w:szCs w:val="20"/>
          <w:color w:val="auto"/>
        </w:rPr>
      </w:pPr>
    </w:p>
    <w:p>
      <w:pPr>
        <w:ind w:left="1520" w:right="53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520" w:right="519"/>
        <w:spacing w:after="0" w:line="248"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22" w:lineRule="exact"/>
        <w:rPr>
          <w:sz w:val="20"/>
          <w:szCs w:val="20"/>
          <w:color w:val="auto"/>
        </w:rPr>
      </w:pPr>
    </w:p>
    <w:p>
      <w:pPr>
        <w:ind w:left="1520" w:right="55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jc w:val="both"/>
        <w:ind w:left="1520" w:right="659"/>
        <w:spacing w:after="0" w:line="313" w:lineRule="auto"/>
        <w:rPr>
          <w:sz w:val="20"/>
          <w:szCs w:val="20"/>
          <w:color w:val="auto"/>
        </w:rPr>
      </w:pPr>
      <w:r>
        <w:rPr>
          <w:rFonts w:ascii="Times New Roman" w:cs="Times New Roman" w:eastAsia="Times New Roman" w:hAnsi="Times New Roman"/>
          <w:sz w:val="12"/>
          <w:szCs w:val="12"/>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purchasers of our common stock could incur substantial losses. The market price for our common stock may be influenced by many factors, including:</w:t>
      </w:r>
    </w:p>
    <w:p>
      <w:pPr>
        <w:spacing w:after="0" w:line="38" w:lineRule="exact"/>
        <w:rPr>
          <w:sz w:val="20"/>
          <w:szCs w:val="20"/>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drugs or technologies;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preclinical studies and clinical trials of our current or future product candidates or those of our competitors;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safety concerns related to the use of any of our product candidates;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other countries;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current or future product candidates or clinical development programs;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current or future product candidates or drugs;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claims or other litigation;</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including inflation and potential tariffs; and</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240" w:hanging="324"/>
        <w:spacing w:after="0"/>
        <w:tabs>
          <w:tab w:leader="none" w:pos="22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factors described in this prospectus and listed under the caption “Risk Factors” our most recent Annual Report on Form 10-K.</w:t>
      </w:r>
    </w:p>
    <w:p>
      <w:pPr>
        <w:spacing w:after="0" w:line="186" w:lineRule="exact"/>
        <w:rPr>
          <w:sz w:val="20"/>
          <w:szCs w:val="20"/>
          <w:color w:val="auto"/>
        </w:rPr>
      </w:pPr>
    </w:p>
    <w:p>
      <w:pPr>
        <w:ind w:left="1520" w:right="399"/>
        <w:spacing w:after="0" w:line="244" w:lineRule="auto"/>
        <w:rPr>
          <w:sz w:val="20"/>
          <w:szCs w:val="20"/>
          <w:color w:val="auto"/>
        </w:rPr>
      </w:pPr>
      <w:r>
        <w:rPr>
          <w:rFonts w:ascii="Times New Roman" w:cs="Times New Roman" w:eastAsia="Times New Roman" w:hAnsi="Times New Roman"/>
          <w:sz w:val="14"/>
          <w:szCs w:val="14"/>
          <w:color w:val="auto"/>
        </w:rPr>
        <w:t>The stock market in general, and the Nasdaq Global Select Market and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geopolitical events or public health crises, may negatively affect the market price of our common stock, regardless of our actual operating performance. The realization of any of the above risks or any of a broad range of other risks, including those described in this prospectus and our most recent Annual Report on Form 10-K, could have a significant and material adverse impact on the market price of our common stock.</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7" w:lineRule="exact"/>
        <w:rPr>
          <w:sz w:val="20"/>
          <w:szCs w:val="20"/>
          <w:color w:val="auto"/>
        </w:rPr>
      </w:pPr>
    </w:p>
    <w:p>
      <w:pPr>
        <w:ind w:left="1520" w:right="459"/>
        <w:spacing w:after="0" w:line="313" w:lineRule="auto"/>
        <w:rPr>
          <w:sz w:val="20"/>
          <w:szCs w:val="20"/>
          <w:color w:val="auto"/>
        </w:rPr>
      </w:pPr>
      <w:r>
        <w:rPr>
          <w:rFonts w:ascii="Times New Roman" w:cs="Times New Roman" w:eastAsia="Times New Roman" w:hAnsi="Times New Roman"/>
          <w:sz w:val="12"/>
          <w:szCs w:val="12"/>
          <w:color w:val="auto"/>
        </w:rPr>
        <w:t>We may issue and sell shares of our common stock having aggregate sales proceeds of up to $100,000,000 from time to time under this prospectus. The amount of the net proceeds to us from this offering will depend upon the number of shares of our common stock sold and the price at which they are sold. There can be no assurance that we will be able to sell any shares under or fully utilize the Sales Agreement with Stifel.</w:t>
      </w:r>
    </w:p>
    <w:p>
      <w:pPr>
        <w:spacing w:after="0" w:line="108" w:lineRule="exact"/>
        <w:rPr>
          <w:sz w:val="20"/>
          <w:szCs w:val="20"/>
          <w:color w:val="auto"/>
        </w:rPr>
      </w:pPr>
    </w:p>
    <w:p>
      <w:pPr>
        <w:ind w:left="1520" w:right="679"/>
        <w:spacing w:after="0" w:line="248"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We have not determined the amount of net proceeds to be used specifically for such purposes. As a result, management will retain broad discretion over the allocation of net proceeds.</w:t>
      </w:r>
    </w:p>
    <w:p>
      <w:pPr>
        <w:spacing w:after="0" w:line="145" w:lineRule="exact"/>
        <w:rPr>
          <w:sz w:val="20"/>
          <w:szCs w:val="20"/>
          <w:color w:val="auto"/>
        </w:rPr>
      </w:pPr>
    </w:p>
    <w:p>
      <w:pPr>
        <w:ind w:left="1520" w:right="399"/>
        <w:spacing w:after="0" w:line="290" w:lineRule="auto"/>
        <w:rPr>
          <w:sz w:val="20"/>
          <w:szCs w:val="20"/>
          <w:color w:val="auto"/>
        </w:rPr>
      </w:pPr>
      <w:r>
        <w:rPr>
          <w:rFonts w:ascii="Times New Roman" w:cs="Times New Roman" w:eastAsia="Times New Roman" w:hAnsi="Times New Roman"/>
          <w:sz w:val="12"/>
          <w:szCs w:val="12"/>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Stifel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the accompanying base prospectus, and in the documents incorporated by reference herein and therein.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w:t>
      </w:r>
    </w:p>
    <w:p>
      <w:pPr>
        <w:spacing w:after="0" w:line="287" w:lineRule="exact"/>
        <w:rPr>
          <w:sz w:val="20"/>
          <w:szCs w:val="20"/>
          <w:color w:val="auto"/>
        </w:rPr>
      </w:pPr>
    </w:p>
    <w:p>
      <w:pPr>
        <w:ind w:left="1520" w:right="579"/>
        <w:spacing w:after="0" w:line="261" w:lineRule="auto"/>
        <w:rPr>
          <w:sz w:val="20"/>
          <w:szCs w:val="20"/>
          <w:color w:val="auto"/>
        </w:rPr>
      </w:pPr>
      <w:r>
        <w:rPr>
          <w:rFonts w:ascii="Times New Roman" w:cs="Times New Roman" w:eastAsia="Times New Roman" w:hAnsi="Times New Roman"/>
          <w:sz w:val="14"/>
          <w:szCs w:val="14"/>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67" w:lineRule="exact"/>
        <w:rPr>
          <w:sz w:val="20"/>
          <w:szCs w:val="20"/>
          <w:color w:val="auto"/>
        </w:rPr>
      </w:pPr>
    </w:p>
    <w:p>
      <w:pPr>
        <w:ind w:left="1520" w:right="379"/>
        <w:spacing w:after="0" w:line="246"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7" w:lineRule="exact"/>
        <w:rPr>
          <w:sz w:val="20"/>
          <w:szCs w:val="20"/>
          <w:color w:val="auto"/>
        </w:rPr>
      </w:pPr>
    </w:p>
    <w:p>
      <w:pPr>
        <w:ind w:left="1520" w:right="399"/>
        <w:spacing w:after="0" w:line="297" w:lineRule="auto"/>
        <w:rPr>
          <w:sz w:val="20"/>
          <w:szCs w:val="20"/>
          <w:color w:val="auto"/>
        </w:rPr>
      </w:pPr>
      <w:r>
        <w:rPr>
          <w:rFonts w:ascii="Times New Roman" w:cs="Times New Roman" w:eastAsia="Times New Roman" w:hAnsi="Times New Roman"/>
          <w:sz w:val="12"/>
          <w:szCs w:val="12"/>
          <w:color w:val="auto"/>
        </w:rPr>
        <w:t>We have entered into the Sales Agreement with Stifel, under which we may issue and sell up to $100.0 million of our shares of common stock from time to time through or to Stifel, acting as sales agent or principal, subject to certain limitations, including the number of shares registered under the registration statement to which the offering relates. Sales of our shares of common stock, if any, under this prospectus may be made by in negotiated transactions or transactions that are deemed to be “at-the-market offerings” as defined in Rule 415(a)(4) under the Securities Act, including sales made directly on Nasdaq, or sales made to or through a market maker other than on an exchange or through an electronic communications network.</w:t>
      </w:r>
    </w:p>
    <w:p>
      <w:pPr>
        <w:spacing w:after="0" w:line="119" w:lineRule="exact"/>
        <w:rPr>
          <w:sz w:val="20"/>
          <w:szCs w:val="20"/>
          <w:color w:val="auto"/>
        </w:rPr>
      </w:pPr>
    </w:p>
    <w:p>
      <w:pPr>
        <w:ind w:left="1520" w:right="419"/>
        <w:spacing w:after="0" w:line="246" w:lineRule="auto"/>
        <w:rPr>
          <w:sz w:val="20"/>
          <w:szCs w:val="20"/>
          <w:color w:val="auto"/>
        </w:rPr>
      </w:pPr>
      <w:r>
        <w:rPr>
          <w:rFonts w:ascii="Times New Roman" w:cs="Times New Roman" w:eastAsia="Times New Roman" w:hAnsi="Times New Roman"/>
          <w:sz w:val="14"/>
          <w:szCs w:val="14"/>
          <w:color w:val="auto"/>
        </w:rPr>
        <w:t>Each time we wish to issue and sell common stock under the Sales Agreement, we will notify Stifel of the maximum aggregate dollar value or number of shares to be sold by Stifel on such day and the minimum price per share at which such shares may be sold. Once we have so instructed Stifel, unless Stifel declines to accept the terms of such notice, Stifel has agreed to use its commercially reasonable efforts consistent with its normal trading and sales practices and applicable law and regulations to sell such shares up to the amount specified on such terms. The obligations of Stifel under the Sales Agreement to sell shares of our common stock are subject to a number of conditions that we must meet.</w:t>
      </w:r>
    </w:p>
    <w:p>
      <w:pPr>
        <w:spacing w:after="0" w:line="148" w:lineRule="exact"/>
        <w:rPr>
          <w:sz w:val="20"/>
          <w:szCs w:val="20"/>
          <w:color w:val="auto"/>
        </w:rPr>
      </w:pPr>
    </w:p>
    <w:p>
      <w:pPr>
        <w:ind w:left="1520" w:right="439"/>
        <w:spacing w:after="0" w:line="251" w:lineRule="auto"/>
        <w:rPr>
          <w:sz w:val="20"/>
          <w:szCs w:val="20"/>
          <w:color w:val="auto"/>
        </w:rPr>
      </w:pPr>
      <w:r>
        <w:rPr>
          <w:rFonts w:ascii="Times New Roman" w:cs="Times New Roman" w:eastAsia="Times New Roman" w:hAnsi="Times New Roman"/>
          <w:sz w:val="14"/>
          <w:szCs w:val="14"/>
          <w:color w:val="auto"/>
        </w:rPr>
        <w:t>The settlement of sales of shares between us and Stifel is generally anticipated to occur on the first trading day following the date on which the sale was made. Sales of our shares of common stock as contemplated in this prospectus will be settled through the facilities of The Depository Trust Company. There is no arrangement for funds to be received in an escrow, trust or similar arrangement.</w:t>
      </w:r>
    </w:p>
    <w:p>
      <w:pPr>
        <w:spacing w:after="0" w:line="143" w:lineRule="exact"/>
        <w:rPr>
          <w:sz w:val="20"/>
          <w:szCs w:val="20"/>
          <w:color w:val="auto"/>
        </w:rPr>
      </w:pPr>
    </w:p>
    <w:p>
      <w:pPr>
        <w:ind w:left="1520" w:right="419"/>
        <w:spacing w:after="0" w:line="248" w:lineRule="auto"/>
        <w:rPr>
          <w:sz w:val="20"/>
          <w:szCs w:val="20"/>
          <w:color w:val="auto"/>
        </w:rPr>
      </w:pPr>
      <w:r>
        <w:rPr>
          <w:rFonts w:ascii="Times New Roman" w:cs="Times New Roman" w:eastAsia="Times New Roman" w:hAnsi="Times New Roman"/>
          <w:sz w:val="14"/>
          <w:szCs w:val="14"/>
          <w:color w:val="auto"/>
        </w:rPr>
        <w:t>We will pay Stifel a commission for its services in acting as an agent in the sale of our common stock. Stifel will be entitled to compensation at a commission rate of up to 3.0% of the gross sales price per share sold. We also may sell shares of common stock to Stifel as principal for its own account at a price agreed upon at the time of sale. If we sell shares to Stifel as principal, we will enter into a separate terms agreement with Stifel and we will describe such agreement in a separate prospectus.</w:t>
      </w:r>
    </w:p>
    <w:p>
      <w:pPr>
        <w:spacing w:after="0" w:line="145" w:lineRule="exact"/>
        <w:rPr>
          <w:sz w:val="20"/>
          <w:szCs w:val="20"/>
          <w:color w:val="auto"/>
        </w:rPr>
      </w:pPr>
    </w:p>
    <w:p>
      <w:pPr>
        <w:ind w:left="1520" w:right="399"/>
        <w:spacing w:after="0" w:line="244" w:lineRule="auto"/>
        <w:rPr>
          <w:sz w:val="20"/>
          <w:szCs w:val="20"/>
          <w:color w:val="auto"/>
        </w:rPr>
      </w:pPr>
      <w:r>
        <w:rPr>
          <w:rFonts w:ascii="Times New Roman" w:cs="Times New Roman" w:eastAsia="Times New Roman" w:hAnsi="Times New Roman"/>
          <w:sz w:val="14"/>
          <w:szCs w:val="14"/>
          <w:color w:val="auto"/>
        </w:rPr>
        <w:t>Because there is no minimum offering amount required as a condition to closing this offering, the actual total public offering amount, commissions and proceeds to us, if any, are not determinable at this time. In addition, we have agreed to reimburse Stifel for fees and disbursements related to its legal counsel, in connection with the filing of this prospectus, in an amount not to exceed $50,000, in addition to certain ongoing disbursements of its legal counsel, payable in an amount of up to $15,000 in connection with each triggering event date on which we are required to provide a certificate, unless we and Stifel otherwise agree. We estimate that the total expenses for the offering, excluding compensation payable to Stifel under the terms of the Sales Agreement, will be approximately $0.5 million. The remaining sale proceeds, after deducting any other transaction fees, will equal our net proceeds from the sale of such shares.</w:t>
      </w:r>
    </w:p>
    <w:p>
      <w:pPr>
        <w:spacing w:after="0" w:line="151" w:lineRule="exact"/>
        <w:rPr>
          <w:sz w:val="20"/>
          <w:szCs w:val="20"/>
          <w:color w:val="auto"/>
        </w:rPr>
      </w:pPr>
    </w:p>
    <w:p>
      <w:pPr>
        <w:jc w:val="both"/>
        <w:ind w:left="1520" w:right="539"/>
        <w:spacing w:after="0" w:line="251" w:lineRule="auto"/>
        <w:rPr>
          <w:sz w:val="20"/>
          <w:szCs w:val="20"/>
          <w:color w:val="auto"/>
        </w:rPr>
      </w:pPr>
      <w:r>
        <w:rPr>
          <w:rFonts w:ascii="Times New Roman" w:cs="Times New Roman" w:eastAsia="Times New Roman" w:hAnsi="Times New Roman"/>
          <w:sz w:val="14"/>
          <w:szCs w:val="14"/>
          <w:color w:val="auto"/>
        </w:rPr>
        <w:t>Stifel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aggregate gross proceeds of such sales, the net proceeds to us and the compensation payable by us to Stifel.</w:t>
      </w:r>
    </w:p>
    <w:p>
      <w:pPr>
        <w:spacing w:after="0" w:line="143" w:lineRule="exact"/>
        <w:rPr>
          <w:sz w:val="20"/>
          <w:szCs w:val="20"/>
          <w:color w:val="auto"/>
        </w:rPr>
      </w:pPr>
    </w:p>
    <w:p>
      <w:pPr>
        <w:ind w:left="1520" w:right="399"/>
        <w:spacing w:after="0" w:line="246" w:lineRule="auto"/>
        <w:rPr>
          <w:sz w:val="20"/>
          <w:szCs w:val="20"/>
          <w:color w:val="auto"/>
        </w:rPr>
      </w:pPr>
      <w:r>
        <w:rPr>
          <w:rFonts w:ascii="Times New Roman" w:cs="Times New Roman" w:eastAsia="Times New Roman" w:hAnsi="Times New Roman"/>
          <w:sz w:val="14"/>
          <w:szCs w:val="14"/>
          <w:color w:val="auto"/>
        </w:rPr>
        <w:t>In connection with the sale of shares of our common stock on our behalf, Stifel will, with respect to the sales effected in an “at the market offering,” be deemed to be an “underwriter” within the meaning of the Securities Act, and the compensation of Stifel may be deemed to be underwriting commissions or discounts. We have agreed to indemnify Stifel against certain civil liabilities, including liabilities under the Securities Act and the Exchange Act. We have also agreed to contribute to payments Stifel may be required to make in respect of such liabilities. We and Stifel may each terminate the sale agreement at any time upon ten days’ prior notice.</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819"/>
        <w:spacing w:after="0" w:line="261" w:lineRule="auto"/>
        <w:rPr>
          <w:sz w:val="20"/>
          <w:szCs w:val="20"/>
          <w:color w:val="auto"/>
        </w:rPr>
      </w:pPr>
      <w:r>
        <w:rPr>
          <w:rFonts w:ascii="Times New Roman" w:cs="Times New Roman" w:eastAsia="Times New Roman" w:hAnsi="Times New Roman"/>
          <w:sz w:val="14"/>
          <w:szCs w:val="14"/>
          <w:color w:val="auto"/>
        </w:rPr>
        <w:t>The offering of our common stock pursuant to the Sales Agreement will terminate upon the earlier of (i) the issuance and sale of all shares of our common stock subject to the Sales Agreement and (ii) the termination of the Sales Agreement as permitted therein.</w:t>
      </w:r>
    </w:p>
    <w:p>
      <w:pPr>
        <w:spacing w:after="0" w:line="136" w:lineRule="exact"/>
        <w:rPr>
          <w:sz w:val="20"/>
          <w:szCs w:val="20"/>
          <w:color w:val="auto"/>
        </w:rPr>
      </w:pPr>
    </w:p>
    <w:p>
      <w:pPr>
        <w:ind w:left="1520" w:right="439"/>
        <w:spacing w:after="0" w:line="248" w:lineRule="auto"/>
        <w:rPr>
          <w:sz w:val="20"/>
          <w:szCs w:val="20"/>
          <w:color w:val="auto"/>
        </w:rPr>
      </w:pPr>
      <w:r>
        <w:rPr>
          <w:rFonts w:ascii="Times New Roman" w:cs="Times New Roman" w:eastAsia="Times New Roman" w:hAnsi="Times New Roman"/>
          <w:sz w:val="14"/>
          <w:szCs w:val="14"/>
          <w:color w:val="auto"/>
        </w:rPr>
        <w:t>Stifel and its affiliates have in the past and may in the future provide various investment banking, commercial banking, financial advisory and other financial services for us and our affiliates, for which services they may in the future receive customary fees. In the course of its business, Stifel may actively trade our securities for its own account or for the accounts of customers, and, accordingly, Stifel may at any time hold long or short positions in such securities.</w:t>
      </w:r>
    </w:p>
    <w:p>
      <w:pPr>
        <w:spacing w:after="0" w:line="145" w:lineRule="exact"/>
        <w:rPr>
          <w:sz w:val="20"/>
          <w:szCs w:val="20"/>
          <w:color w:val="auto"/>
        </w:rPr>
      </w:pPr>
    </w:p>
    <w:p>
      <w:pPr>
        <w:jc w:val="both"/>
        <w:ind w:left="1520" w:right="559"/>
        <w:spacing w:after="0" w:line="248" w:lineRule="auto"/>
        <w:rPr>
          <w:sz w:val="20"/>
          <w:szCs w:val="20"/>
          <w:color w:val="auto"/>
        </w:rPr>
      </w:pPr>
      <w:r>
        <w:rPr>
          <w:rFonts w:ascii="Times New Roman" w:cs="Times New Roman" w:eastAsia="Times New Roman" w:hAnsi="Times New Roman"/>
          <w:sz w:val="14"/>
          <w:szCs w:val="14"/>
          <w:color w:val="auto"/>
        </w:rPr>
        <w:t>We previously entered into the Prior Sales Agreement, under which we could issue and sell from time to time an aggregate of up to $100,000,000 of shares of our common stock through Stifel, as our sales agent. As of the date of this prospectus, $88,474,029.98 of shares of common stock remained available for sale under the Prior Sales Agreement. The Sales Agreement as described herein replaces the Prior Sales Agreement, and no sales will be made pursuant to the Prior Sales Agreement subsequent to the date of this prospectus.</w:t>
      </w:r>
    </w:p>
    <w:p>
      <w:pPr>
        <w:spacing w:after="0" w:line="145" w:lineRule="exact"/>
        <w:rPr>
          <w:sz w:val="20"/>
          <w:szCs w:val="20"/>
          <w:color w:val="auto"/>
        </w:rPr>
      </w:pPr>
    </w:p>
    <w:p>
      <w:pPr>
        <w:ind w:left="1520" w:right="599"/>
        <w:spacing w:after="0" w:line="261" w:lineRule="auto"/>
        <w:rPr>
          <w:sz w:val="20"/>
          <w:szCs w:val="20"/>
          <w:color w:val="auto"/>
        </w:rPr>
      </w:pPr>
      <w:r>
        <w:rPr>
          <w:rFonts w:ascii="Times New Roman" w:cs="Times New Roman" w:eastAsia="Times New Roman" w:hAnsi="Times New Roman"/>
          <w:sz w:val="14"/>
          <w:szCs w:val="14"/>
          <w:color w:val="auto"/>
        </w:rPr>
        <w:t>This prospectus and the accompanying base prospectus in electronic format may be made available on a website maintained by Stifel, and Stifel may distribute this prospectus and the accompanying base prospectus electronically.</w:t>
      </w:r>
    </w:p>
    <w:p>
      <w:pPr>
        <w:spacing w:after="0" w:line="136" w:lineRule="exact"/>
        <w:rPr>
          <w:sz w:val="20"/>
          <w:szCs w:val="20"/>
          <w:color w:val="auto"/>
        </w:rPr>
      </w:pPr>
    </w:p>
    <w:p>
      <w:pPr>
        <w:ind w:left="1520" w:right="499"/>
        <w:spacing w:after="0" w:line="261" w:lineRule="auto"/>
        <w:rPr>
          <w:sz w:val="20"/>
          <w:szCs w:val="20"/>
          <w:color w:val="auto"/>
        </w:rPr>
      </w:pPr>
      <w:r>
        <w:rPr>
          <w:rFonts w:ascii="Times New Roman" w:cs="Times New Roman" w:eastAsia="Times New Roman" w:hAnsi="Times New Roman"/>
          <w:sz w:val="14"/>
          <w:szCs w:val="14"/>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7" w:lineRule="exact"/>
        <w:rPr>
          <w:sz w:val="20"/>
          <w:szCs w:val="20"/>
          <w:color w:val="auto"/>
        </w:rPr>
      </w:pPr>
    </w:p>
    <w:p>
      <w:pPr>
        <w:ind w:left="1520" w:right="599"/>
        <w:spacing w:after="0" w:line="261" w:lineRule="auto"/>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Goodwin Procter LLP, New York, New York. Stifel is being represented in connection with this offering by Paul Hastings LLP, New York, New York.</w:t>
      </w:r>
    </w:p>
    <w:p>
      <w:pPr>
        <w:spacing w:after="0" w:line="2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7" w:lineRule="exact"/>
        <w:rPr>
          <w:sz w:val="20"/>
          <w:szCs w:val="20"/>
          <w:color w:val="auto"/>
        </w:rPr>
      </w:pPr>
    </w:p>
    <w:p>
      <w:pPr>
        <w:ind w:left="1520" w:right="399"/>
        <w:spacing w:after="0" w:line="248" w:lineRule="auto"/>
        <w:rPr>
          <w:sz w:val="20"/>
          <w:szCs w:val="20"/>
          <w:color w:val="auto"/>
        </w:rPr>
      </w:pPr>
      <w:r>
        <w:rPr>
          <w:rFonts w:ascii="Times New Roman" w:cs="Times New Roman" w:eastAsia="Times New Roman" w:hAnsi="Times New Roman"/>
          <w:sz w:val="14"/>
          <w:szCs w:val="14"/>
          <w:color w:val="auto"/>
        </w:rPr>
        <w:t>The consolidated financial statements of PepGen Inc. and subsidiary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7" w:lineRule="exact"/>
        <w:rPr>
          <w:sz w:val="20"/>
          <w:szCs w:val="20"/>
          <w:color w:val="auto"/>
        </w:rPr>
      </w:pPr>
    </w:p>
    <w:p>
      <w:pPr>
        <w:ind w:left="1520" w:right="459"/>
        <w:spacing w:after="0" w:line="251"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at www.sec.gov and on our investor website at </w:t>
      </w:r>
      <w:r>
        <w:rPr>
          <w:rFonts w:ascii="Times New Roman" w:cs="Times New Roman" w:eastAsia="Times New Roman" w:hAnsi="Times New Roman"/>
          <w:sz w:val="14"/>
          <w:szCs w:val="14"/>
          <w:i w:val="1"/>
          <w:iCs w:val="1"/>
          <w:color w:val="auto"/>
        </w:rPr>
        <w:t>www.pepgen.com</w:t>
      </w:r>
      <w:r>
        <w:rPr>
          <w:rFonts w:ascii="Times New Roman" w:cs="Times New Roman" w:eastAsia="Times New Roman" w:hAnsi="Times New Roman"/>
          <w:sz w:val="14"/>
          <w:szCs w:val="14"/>
          <w:color w:val="auto"/>
        </w:rPr>
        <w:t>. Our website is not a part of this prospectus and is not incorporated by reference in this prospectus.</w:t>
      </w:r>
    </w:p>
    <w:p>
      <w:pPr>
        <w:spacing w:after="0" w:line="143" w:lineRule="exact"/>
        <w:rPr>
          <w:sz w:val="20"/>
          <w:szCs w:val="20"/>
          <w:color w:val="auto"/>
        </w:rPr>
      </w:pPr>
    </w:p>
    <w:p>
      <w:pPr>
        <w:ind w:left="1520" w:right="499"/>
        <w:spacing w:after="0" w:line="24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Certain information in the registration statement has been omitted from this prospectus in accordance with the rules of the SEC. For more detail about us and any securities that may be offered by this prospectus, you may examine the registration statement of which this prospectus forms a part, including its exhibits and schedules. Statements contained in this prospectus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67" w:lineRule="exact"/>
        <w:rPr>
          <w:sz w:val="20"/>
          <w:szCs w:val="20"/>
          <w:color w:val="auto"/>
        </w:rPr>
      </w:pPr>
    </w:p>
    <w:p>
      <w:pPr>
        <w:ind w:left="1520" w:right="479"/>
        <w:spacing w:after="0" w:line="244" w:lineRule="auto"/>
        <w:rPr>
          <w:sz w:val="20"/>
          <w:szCs w:val="20"/>
          <w:color w:val="auto"/>
        </w:rPr>
      </w:pPr>
      <w:r>
        <w:rPr>
          <w:rFonts w:ascii="Times New Roman" w:cs="Times New Roman" w:eastAsia="Times New Roman" w:hAnsi="Times New Roman"/>
          <w:sz w:val="14"/>
          <w:szCs w:val="14"/>
          <w:color w:val="auto"/>
        </w:rPr>
        <w:t>SEC rules permit us to incorporate information by reference in this prospectus and the accompanying base prospectus. This means that we can disclose important information to you by referring you to another document filed separately with the SEC. The information incorporated by reference is considered to be part of this prospectus and the accompanying base prospectus, except for information superseded by information contained in this prospectus or the accompanying base prospectus or in any subsequently filed incorporated document. This prospectus and the accompanying base prospectus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80" w:lineRule="exact"/>
        <w:rPr>
          <w:sz w:val="20"/>
          <w:szCs w:val="20"/>
          <w:color w:val="auto"/>
        </w:rPr>
      </w:pPr>
    </w:p>
    <w:p>
      <w:pPr>
        <w:ind w:left="2240" w:hanging="324"/>
        <w:spacing w:after="0"/>
        <w:tabs>
          <w:tab w:leader="none" w:pos="2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4, 2026;</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29">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12, 2026;</w:t>
      </w:r>
    </w:p>
    <w:p>
      <w:pPr>
        <w:spacing w:after="0" w:line="92" w:lineRule="exact"/>
        <w:rPr>
          <w:rFonts w:ascii="Times New Roman" w:cs="Times New Roman" w:eastAsia="Times New Roman" w:hAnsi="Times New Roman"/>
          <w:sz w:val="14"/>
          <w:szCs w:val="14"/>
          <w:color w:val="auto"/>
        </w:rPr>
      </w:pPr>
    </w:p>
    <w:p>
      <w:pPr>
        <w:ind w:left="2240" w:hanging="324"/>
        <w:spacing w:after="0"/>
        <w:tabs>
          <w:tab w:leader="none" w:pos="2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30">
        <w:r>
          <w:rPr>
            <w:rFonts w:ascii="Times New Roman" w:cs="Times New Roman" w:eastAsia="Times New Roman" w:hAnsi="Times New Roman"/>
            <w:sz w:val="14"/>
            <w:szCs w:val="14"/>
            <w:u w:val="single" w:color="auto"/>
            <w:color w:val="0000EE"/>
          </w:rPr>
          <w:t>March 4, 2026</w:t>
        </w:r>
      </w:hyperlink>
      <w:r>
        <w:rPr>
          <w:rFonts w:ascii="Times New Roman" w:cs="Times New Roman" w:eastAsia="Times New Roman" w:hAnsi="Times New Roman"/>
          <w:sz w:val="14"/>
          <w:szCs w:val="14"/>
          <w:color w:val="auto"/>
        </w:rPr>
        <w:t xml:space="preserve">, and </w:t>
      </w:r>
      <w:hyperlink r:id="rId31">
        <w:r>
          <w:rPr>
            <w:rFonts w:ascii="Times New Roman" w:cs="Times New Roman" w:eastAsia="Times New Roman" w:hAnsi="Times New Roman"/>
            <w:sz w:val="14"/>
            <w:szCs w:val="14"/>
            <w:u w:val="single" w:color="auto"/>
            <w:color w:val="0000EE"/>
          </w:rPr>
          <w:t>March 30, 2026</w:t>
        </w:r>
      </w:hyperlink>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ind w:left="2240" w:right="419" w:hanging="324"/>
        <w:spacing w:after="0" w:line="261" w:lineRule="auto"/>
        <w:tabs>
          <w:tab w:leader="none" w:pos="2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w:t>
      </w:r>
      <w:hyperlink r:id="rId100">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with the SEC on April 28, 2026, to the extent incorporated by reference into Part III of the Annual Report on </w:t>
      </w:r>
      <w:hyperlink r:id="rId2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and</w:t>
      </w:r>
    </w:p>
    <w:p>
      <w:pPr>
        <w:spacing w:after="0" w:line="65" w:lineRule="exact"/>
        <w:rPr>
          <w:rFonts w:ascii="Times New Roman" w:cs="Times New Roman" w:eastAsia="Times New Roman" w:hAnsi="Times New Roman"/>
          <w:sz w:val="14"/>
          <w:szCs w:val="14"/>
          <w:color w:val="auto"/>
        </w:rPr>
      </w:pPr>
    </w:p>
    <w:p>
      <w:pPr>
        <w:ind w:left="2240" w:right="419" w:hanging="324"/>
        <w:spacing w:after="0" w:line="248" w:lineRule="auto"/>
        <w:tabs>
          <w:tab w:leader="none" w:pos="2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3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May 3, 2022, and as set forth by the description of the Registrant’s common stock set forth in </w:t>
      </w:r>
      <w:hyperlink r:id="rId35">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Registrant’s Annual Report on Form 10-K for the year ended December 31, 2022, filed with the SEC on March 23, 2023, including any amendments or reports filed for the purpose of updating such description.</w:t>
      </w:r>
    </w:p>
    <w:p>
      <w:pPr>
        <w:spacing w:after="0" w:line="9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right="619"/>
        <w:spacing w:after="0" w:line="261" w:lineRule="auto"/>
        <w:rPr>
          <w:sz w:val="20"/>
          <w:szCs w:val="20"/>
          <w:color w:val="auto"/>
        </w:rPr>
      </w:pPr>
      <w:r>
        <w:rPr>
          <w:rFonts w:ascii="Times New Roman" w:cs="Times New Roman" w:eastAsia="Times New Roman" w:hAnsi="Times New Roman"/>
          <w:sz w:val="14"/>
          <w:szCs w:val="14"/>
          <w:color w:val="auto"/>
        </w:rPr>
        <w:t>Documents incorporated by reference are available from us without charge, excluding all exhibits unless specifically incorporated by reference as an exhibit to this prospectus and the accompanying base prospectus.</w:t>
      </w:r>
    </w:p>
    <w:p>
      <w:pPr>
        <w:spacing w:after="0" w:line="136" w:lineRule="exact"/>
        <w:rPr>
          <w:sz w:val="20"/>
          <w:szCs w:val="20"/>
          <w:color w:val="auto"/>
        </w:rPr>
      </w:pPr>
    </w:p>
    <w:p>
      <w:pPr>
        <w:ind w:left="1520" w:right="399"/>
        <w:spacing w:after="0" w:line="261" w:lineRule="auto"/>
        <w:rPr>
          <w:sz w:val="20"/>
          <w:szCs w:val="20"/>
          <w:color w:val="auto"/>
        </w:rPr>
      </w:pPr>
      <w:r>
        <w:rPr>
          <w:rFonts w:ascii="Times New Roman" w:cs="Times New Roman" w:eastAsia="Times New Roman" w:hAnsi="Times New Roman"/>
          <w:sz w:val="14"/>
          <w:szCs w:val="14"/>
          <w:color w:val="auto"/>
        </w:rPr>
        <w:t>Prospective investors may obtain documents incorporated by reference in this prospectus and the accompanying base prospectus at no cost by requesting them in writing or by telephone from us at our executive offices at:</w:t>
      </w:r>
    </w:p>
    <w:p>
      <w:pPr>
        <w:spacing w:after="0" w:line="1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PepGen Inc.</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321 Harrison Avenue, 8th Floor</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Boston, MA 02118</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(781) 797-0979</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193040</wp:posOffset>
            </wp:positionV>
            <wp:extent cx="524954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249545" cy="1270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231775</wp:posOffset>
            </wp:positionV>
            <wp:extent cx="524954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249545" cy="635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495300</wp:posOffset>
            </wp:positionV>
            <wp:extent cx="1325245" cy="44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1325245" cy="443865"/>
                    </a:xfrm>
                    <a:prstGeom prst="rect">
                      <a:avLst/>
                    </a:prstGeom>
                    <a:noFill/>
                  </pic:spPr>
                </pic:pic>
              </a:graphicData>
            </a:graphic>
          </wp:anchor>
        </w:drawing>
      </w:r>
    </w:p>
    <w:p>
      <w:pPr>
        <w:sectPr>
          <w:pgSz w:w="11900" w:h="16838" w:orient="portrait"/>
          <w:cols w:equalWidth="0" w:num="1">
            <w:col w:w="10159"/>
          </w:cols>
          <w:pgMar w:left="300" w:top="3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Up to $100,000,000</w:t>
      </w:r>
    </w:p>
    <w:p>
      <w:pPr>
        <w:spacing w:after="0" w:line="3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1643380</wp:posOffset>
            </wp:positionV>
            <wp:extent cx="110680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11068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1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178435</wp:posOffset>
            </wp:positionV>
            <wp:extent cx="11068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1106805" cy="63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2520315</wp:posOffset>
            </wp:positionV>
            <wp:extent cx="524954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249545" cy="63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2565400</wp:posOffset>
            </wp:positionV>
            <wp:extent cx="524954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249545" cy="1270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1780540</wp:posOffset>
            </wp:positionV>
            <wp:extent cx="1325245"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325245" cy="411480"/>
                    </a:xfrm>
                    <a:prstGeom prst="rect">
                      <a:avLst/>
                    </a:prstGeom>
                    <a:noFill/>
                  </pic:spPr>
                </pic:pic>
              </a:graphicData>
            </a:graphic>
          </wp:anchor>
        </w:drawing>
      </w:r>
    </w:p>
    <w:p>
      <w:pPr>
        <w:sectPr>
          <w:pgSz w:w="11900" w:h="16838" w:orient="portrait"/>
          <w:cols w:equalWidth="0" w:num="1">
            <w:col w:w="10159"/>
          </w:cols>
          <w:pgMar w:left="300" w:top="376"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7" w:lineRule="exact"/>
        <w:rPr>
          <w:sz w:val="20"/>
          <w:szCs w:val="20"/>
          <w:color w:val="auto"/>
        </w:rPr>
      </w:pPr>
    </w:p>
    <w:p>
      <w:pPr>
        <w:ind w:left="152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86" w:lineRule="exact"/>
        <w:rPr>
          <w:sz w:val="20"/>
          <w:szCs w:val="20"/>
          <w:color w:val="auto"/>
        </w:rPr>
      </w:pPr>
    </w:p>
    <w:p>
      <w:pPr>
        <w:ind w:left="1520" w:right="539"/>
        <w:spacing w:after="0" w:line="261" w:lineRule="auto"/>
        <w:rPr>
          <w:sz w:val="20"/>
          <w:szCs w:val="20"/>
          <w:color w:val="auto"/>
        </w:rPr>
      </w:pPr>
      <w:r>
        <w:rPr>
          <w:rFonts w:ascii="Times New Roman" w:cs="Times New Roman" w:eastAsia="Times New Roman" w:hAnsi="Times New Roman"/>
          <w:sz w:val="14"/>
          <w:szCs w:val="14"/>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101"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r>
              <w:rPr>
                <w:rFonts w:ascii="Times New Roman" w:cs="Times New Roman" w:eastAsia="Times New Roman" w:hAnsi="Times New Roman"/>
                <w:sz w:val="20"/>
                <w:szCs w:val="20"/>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$ 20,035.76</w:t>
            </w: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and registrar fees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Trustee fees (including counsel fees)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0" w:lineRule="exact"/>
        <w:rPr>
          <w:sz w:val="20"/>
          <w:szCs w:val="20"/>
          <w:color w:val="auto"/>
        </w:rPr>
      </w:pPr>
    </w:p>
    <w:p>
      <w:pPr>
        <w:ind w:left="1840" w:right="659" w:hanging="329"/>
        <w:spacing w:after="0" w:line="231" w:lineRule="auto"/>
        <w:tabs>
          <w:tab w:leader="none" w:pos="184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$400,000,000 of securities registered pursuant to this registration statement includes an aggregate of $39,631.32 of Unsold Securities registered pursuant to the Prior Registration Statements. Pursuant to Rule 415(a)(6) under the Securities Act, the filing fees previously paid in connection with the Unsold Securities will continue to be applied to the Unsold Securities. A filing fee of $20,035.76 is paid herewith in</w:t>
      </w:r>
    </w:p>
    <w:p>
      <w:pPr>
        <w:ind w:left="1840"/>
        <w:spacing w:after="0"/>
        <w:rPr>
          <w:sz w:val="20"/>
          <w:szCs w:val="20"/>
          <w:color w:val="auto"/>
        </w:rPr>
      </w:pPr>
      <w:r>
        <w:rPr>
          <w:rFonts w:ascii="Times New Roman" w:cs="Times New Roman" w:eastAsia="Times New Roman" w:hAnsi="Times New Roman"/>
          <w:sz w:val="14"/>
          <w:szCs w:val="14"/>
          <w:color w:val="auto"/>
        </w:rPr>
        <w:t>connection with the $145,081,550 of additional securities registered hereunder.</w:t>
      </w:r>
    </w:p>
    <w:p>
      <w:pPr>
        <w:spacing w:after="0" w:line="1" w:lineRule="exact"/>
        <w:rPr>
          <w:sz w:val="20"/>
          <w:szCs w:val="20"/>
          <w:color w:val="auto"/>
        </w:rPr>
      </w:pPr>
    </w:p>
    <w:p>
      <w:pPr>
        <w:ind w:left="1840" w:right="399" w:hanging="329"/>
        <w:spacing w:after="0" w:line="243" w:lineRule="auto"/>
        <w:tabs>
          <w:tab w:leader="none" w:pos="18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depend on the securities offered and the number of issuances and accordingly cannot be estimated at this time and will be reflected in the applicable prospectus supplement.</w:t>
      </w:r>
    </w:p>
    <w:p>
      <w:pPr>
        <w:spacing w:after="0" w:line="164" w:lineRule="exact"/>
        <w:rPr>
          <w:sz w:val="20"/>
          <w:szCs w:val="20"/>
          <w:color w:val="auto"/>
        </w:rPr>
      </w:pPr>
    </w:p>
    <w:p>
      <w:pPr>
        <w:ind w:left="152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86" w:lineRule="exact"/>
        <w:rPr>
          <w:sz w:val="20"/>
          <w:szCs w:val="20"/>
          <w:color w:val="auto"/>
        </w:rPr>
      </w:pPr>
    </w:p>
    <w:p>
      <w:pPr>
        <w:ind w:left="1520" w:right="439"/>
        <w:spacing w:after="0" w:line="261" w:lineRule="auto"/>
        <w:rPr>
          <w:sz w:val="20"/>
          <w:szCs w:val="20"/>
          <w:color w:val="auto"/>
        </w:rPr>
      </w:pPr>
      <w:r>
        <w:rPr>
          <w:rFonts w:ascii="Times New Roman" w:cs="Times New Roman" w:eastAsia="Times New Roman" w:hAnsi="Times New Roman"/>
          <w:sz w:val="14"/>
          <w:szCs w:val="14"/>
          <w:color w:val="auto"/>
        </w:rPr>
        <w:t>Section 145 of the Delaware General Corporation Law authorizes a corporation’s board of directors to grant, and authorizes a court to award, indemnity to officers, directors, and other corporate agents.</w:t>
      </w:r>
    </w:p>
    <w:p>
      <w:pPr>
        <w:spacing w:after="0" w:line="136" w:lineRule="exact"/>
        <w:rPr>
          <w:sz w:val="20"/>
          <w:szCs w:val="20"/>
          <w:color w:val="auto"/>
        </w:rPr>
      </w:pPr>
    </w:p>
    <w:p>
      <w:pPr>
        <w:ind w:left="1520" w:right="479"/>
        <w:spacing w:after="0" w:line="297" w:lineRule="auto"/>
        <w:rPr>
          <w:sz w:val="20"/>
          <w:szCs w:val="20"/>
          <w:color w:val="auto"/>
        </w:rPr>
      </w:pPr>
      <w:r>
        <w:rPr>
          <w:rFonts w:ascii="Times New Roman" w:cs="Times New Roman" w:eastAsia="Times New Roman" w:hAnsi="Times New Roman"/>
          <w:sz w:val="12"/>
          <w:szCs w:val="12"/>
          <w:color w:val="auto"/>
        </w:rPr>
        <w:t>As permitted by Section 102 of the Delaware General Corporation Law, we have adopted provisions in our amended and restated certificate of incorporation and amended and restated bylaws that limit or eliminate the personal liability of our directors and officers for a breach of their fiduciary duty of care as a director or officer. The duty of care generally requires that, when acting on behalf of the corporation, directors and officers exercise an informed business judgment based on all material information reasonably available to them. Consequently, a director or officer will not be personally liable to us or our stockholders for monetary damages for breach of fiduciary duty as a director or officer, except for liability for:</w:t>
      </w:r>
    </w:p>
    <w:p>
      <w:pPr>
        <w:spacing w:after="0" w:line="1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any breach of the director’s or officer’s duty of loyalty to us or our stockholders;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any act related to unlawful stock repurchases, redemptions or other distributions or payment of dividends; or</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any transaction from which the director or officer derived an improper personal benefit.</w:t>
      </w:r>
    </w:p>
    <w:p>
      <w:pPr>
        <w:spacing w:after="0" w:line="163" w:lineRule="exact"/>
        <w:rPr>
          <w:sz w:val="20"/>
          <w:szCs w:val="20"/>
          <w:color w:val="auto"/>
        </w:rPr>
      </w:pPr>
    </w:p>
    <w:p>
      <w:pPr>
        <w:ind w:left="1520" w:right="599"/>
        <w:spacing w:after="0" w:line="345" w:lineRule="auto"/>
        <w:rPr>
          <w:sz w:val="20"/>
          <w:szCs w:val="20"/>
          <w:color w:val="auto"/>
        </w:rPr>
      </w:pPr>
      <w:r>
        <w:rPr>
          <w:rFonts w:ascii="Times New Roman" w:cs="Times New Roman" w:eastAsia="Times New Roman" w:hAnsi="Times New Roman"/>
          <w:sz w:val="12"/>
          <w:szCs w:val="12"/>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As permitted by Section 145 of the Delaware General Corporation Law, our amended and restated bylaws provide that:</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color w:val="auto"/>
        </w:rPr>
        <w:t>we shall indemnify our directors and officers to the fullest extent permitted by the Delaware General Corporation Law, subject to limited exceptions;</w:t>
      </w:r>
    </w:p>
    <w:p>
      <w:pPr>
        <w:spacing w:after="0" w:line="1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color w:val="auto"/>
        </w:rPr>
        <w:t>we may indemnify our employees and agents to the fullest extent permitted by the Delaware General Corporation Law, subject to limited exceptions;</w:t>
      </w:r>
    </w:p>
    <w:p>
      <w:pPr>
        <w:spacing w:after="0" w:line="186" w:lineRule="exact"/>
        <w:rPr>
          <w:sz w:val="20"/>
          <w:szCs w:val="20"/>
          <w:color w:val="auto"/>
        </w:rPr>
      </w:pPr>
    </w:p>
    <w:p>
      <w:pPr>
        <w:ind w:left="1520" w:right="399"/>
        <w:spacing w:after="0" w:line="261" w:lineRule="auto"/>
        <w:rPr>
          <w:sz w:val="20"/>
          <w:szCs w:val="20"/>
          <w:color w:val="auto"/>
        </w:rPr>
      </w:pPr>
      <w:r>
        <w:rPr>
          <w:rFonts w:ascii="Times New Roman" w:cs="Times New Roman" w:eastAsia="Times New Roman" w:hAnsi="Times New Roman"/>
          <w:sz w:val="14"/>
          <w:szCs w:val="14"/>
          <w:color w:val="auto"/>
        </w:rPr>
        <w:t>we shall advance expenses to our directors and officers and may advance expenses of our employees and agents in connection with a legal proceeding to the fullest extent permitted by the Delaware General Corporation Law, subject to limited exceptions; and</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rights provided in our amended and restated bylaws are not exclusive.</w:t>
      </w:r>
    </w:p>
    <w:p>
      <w:pPr>
        <w:spacing w:after="0" w:line="163" w:lineRule="exact"/>
        <w:rPr>
          <w:sz w:val="20"/>
          <w:szCs w:val="20"/>
          <w:color w:val="auto"/>
        </w:rPr>
      </w:pPr>
    </w:p>
    <w:p>
      <w:pPr>
        <w:ind w:left="1520" w:right="399"/>
        <w:spacing w:after="0" w:line="292" w:lineRule="auto"/>
        <w:rPr>
          <w:sz w:val="20"/>
          <w:szCs w:val="20"/>
          <w:color w:val="auto"/>
        </w:rPr>
      </w:pPr>
      <w:r>
        <w:rPr>
          <w:rFonts w:ascii="Times New Roman" w:cs="Times New Roman" w:eastAsia="Times New Roman" w:hAnsi="Times New Roman"/>
          <w:sz w:val="12"/>
          <w:szCs w:val="12"/>
          <w:color w:val="auto"/>
        </w:rPr>
        <w:t>Our amended and restated certificate of incorporation and our amended and restated bylaws provide for the indemnification provisions described above and elsewhere herein. We have entered into, and intend to continue to enter into, separate indemnification agreements with our directors and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284" w:lineRule="exact"/>
        <w:rPr>
          <w:sz w:val="20"/>
          <w:szCs w:val="20"/>
          <w:color w:val="auto"/>
        </w:rPr>
      </w:pPr>
    </w:p>
    <w:p>
      <w:pPr>
        <w:ind w:left="1520" w:right="619"/>
        <w:spacing w:after="0" w:line="345" w:lineRule="auto"/>
        <w:rPr>
          <w:sz w:val="20"/>
          <w:szCs w:val="20"/>
          <w:color w:val="auto"/>
        </w:rPr>
      </w:pPr>
      <w:r>
        <w:rPr>
          <w:rFonts w:ascii="Times New Roman" w:cs="Times New Roman" w:eastAsia="Times New Roman" w:hAnsi="Times New Roman"/>
          <w:sz w:val="12"/>
          <w:szCs w:val="12"/>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90" w:lineRule="exact"/>
        <w:rPr>
          <w:sz w:val="20"/>
          <w:szCs w:val="20"/>
          <w:color w:val="auto"/>
        </w:rPr>
      </w:pPr>
    </w:p>
    <w:p>
      <w:pPr>
        <w:ind w:left="1520" w:right="479"/>
        <w:spacing w:after="0" w:line="261" w:lineRule="auto"/>
        <w:rPr>
          <w:sz w:val="20"/>
          <w:szCs w:val="20"/>
          <w:color w:val="auto"/>
        </w:rPr>
      </w:pPr>
      <w:r>
        <w:rPr>
          <w:rFonts w:ascii="Times New Roman" w:cs="Times New Roman" w:eastAsia="Times New Roman" w:hAnsi="Times New Roman"/>
          <w:sz w:val="14"/>
          <w:szCs w:val="14"/>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w:t>
      </w:r>
    </w:p>
    <w:p>
      <w:pPr>
        <w:spacing w:after="0" w:line="244" w:lineRule="exact"/>
        <w:rPr>
          <w:sz w:val="20"/>
          <w:szCs w:val="20"/>
          <w:color w:val="auto"/>
        </w:rPr>
      </w:pPr>
    </w:p>
    <w:p>
      <w:pPr>
        <w:ind w:left="152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7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620"/>
        <w:spacing w:after="0"/>
        <w:tabs>
          <w:tab w:leader="none" w:pos="2180" w:val="left"/>
        </w:tabs>
        <w:rPr>
          <w:sz w:val="20"/>
          <w:szCs w:val="20"/>
          <w:color w:val="auto"/>
        </w:rPr>
      </w:pPr>
      <w:r>
        <w:rPr>
          <w:rFonts w:ascii="Times New Roman" w:cs="Times New Roman" w:eastAsia="Times New Roman" w:hAnsi="Times New Roman"/>
          <w:sz w:val="11"/>
          <w:szCs w:val="11"/>
          <w:b w:val="1"/>
          <w:bCs w:val="1"/>
          <w:color w:val="auto"/>
        </w:rPr>
        <w:t>No.</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0</wp:posOffset>
            </wp:positionV>
            <wp:extent cx="524954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249545" cy="6350"/>
                    </a:xfrm>
                    <a:prstGeom prst="rect">
                      <a:avLst/>
                    </a:prstGeom>
                    <a:noFill/>
                  </pic:spPr>
                </pic:pic>
              </a:graphicData>
            </a:graphic>
          </wp:anchor>
        </w:drawing>
      </w:r>
    </w:p>
    <w:p>
      <w:pPr>
        <w:spacing w:after="0" w:line="48" w:lineRule="exact"/>
        <w:rPr>
          <w:sz w:val="20"/>
          <w:szCs w:val="20"/>
          <w:color w:val="auto"/>
        </w:rPr>
      </w:pPr>
    </w:p>
    <w:p>
      <w:pPr>
        <w:ind w:left="1580" w:hanging="69"/>
        <w:spacing w:after="0"/>
        <w:tabs>
          <w:tab w:leader="none" w:pos="15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1.1*Form(s) of underwriting agreement(s).</w:t>
      </w:r>
    </w:p>
    <w:p>
      <w:pPr>
        <w:spacing w:after="0" w:line="105" w:lineRule="exact"/>
        <w:rPr>
          <w:rFonts w:ascii="Times New Roman" w:cs="Times New Roman" w:eastAsia="Times New Roman" w:hAnsi="Times New Roman"/>
          <w:sz w:val="12"/>
          <w:szCs w:val="12"/>
          <w:color w:val="auto"/>
        </w:rPr>
      </w:pPr>
    </w:p>
    <w:p>
      <w:pPr>
        <w:ind w:left="2200" w:right="899" w:hanging="689"/>
        <w:spacing w:after="0" w:line="261" w:lineRule="auto"/>
        <w:tabs>
          <w:tab w:leader="none" w:pos="15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w:t>
      </w:r>
      <w:r>
        <w:rPr>
          <w:rFonts w:ascii="Times New Roman" w:cs="Times New Roman" w:eastAsia="Times New Roman" w:hAnsi="Times New Roman"/>
          <w:sz w:val="14"/>
          <w:szCs w:val="14"/>
          <w:u w:val="single" w:color="auto"/>
          <w:color w:val="0000EE"/>
        </w:rPr>
        <w:t>At-The-Market Equity Offering Sales Agreement, dated as of May 18, 2026, by and between the Company and Stifel, Nicolaus &amp; Company Incorporated.</w:t>
      </w:r>
    </w:p>
    <w:p>
      <w:pPr>
        <w:spacing w:after="0" w:line="3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24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6"/>
              </w:rPr>
            </w:pPr>
            <w:hyperlink r:id="rId114">
              <w:r>
                <w:rPr>
                  <w:rFonts w:ascii="Times New Roman" w:cs="Times New Roman" w:eastAsia="Times New Roman" w:hAnsi="Times New Roman"/>
                  <w:sz w:val="14"/>
                  <w:szCs w:val="14"/>
                  <w:color w:val="0000EE"/>
                  <w:w w:val="96"/>
                </w:rPr>
                <w:t>Third Amended and Restated Certificate of Incorporation of the Company (Incorporated by reference to Exhibit 3.1 to the Company’s</w:t>
              </w:r>
            </w:hyperlink>
          </w:p>
        </w:tc>
        <w:tc>
          <w:tcPr>
            <w:tcW w:w="320" w:type="dxa"/>
            <w:vAlign w:val="bottom"/>
          </w:tcPr>
          <w:p>
            <w:pPr>
              <w:spacing w:after="0"/>
              <w:rPr>
                <w:sz w:val="13"/>
                <w:szCs w:val="13"/>
                <w:color w:val="auto"/>
              </w:rPr>
            </w:pPr>
          </w:p>
        </w:tc>
      </w:tr>
      <w:tr>
        <w:trPr>
          <w:trHeight w:val="142"/>
        </w:trPr>
        <w:tc>
          <w:tcPr>
            <w:tcW w:w="680" w:type="dxa"/>
            <w:vAlign w:val="bottom"/>
          </w:tcPr>
          <w:p>
            <w:pPr>
              <w:spacing w:after="0"/>
              <w:rPr>
                <w:sz w:val="12"/>
                <w:szCs w:val="12"/>
                <w:color w:val="auto"/>
              </w:rPr>
            </w:pPr>
          </w:p>
        </w:tc>
        <w:tc>
          <w:tcPr>
            <w:tcW w:w="4260" w:type="dxa"/>
            <w:vAlign w:val="bottom"/>
            <w:tcBorders>
              <w:bottom w:val="single" w:sz="8" w:color="0000EE"/>
            </w:tcBorders>
          </w:tcPr>
          <w:p>
            <w:pPr>
              <w:spacing w:after="0" w:line="142" w:lineRule="exact"/>
              <w:rPr>
                <w:rFonts w:ascii="Times New Roman" w:cs="Times New Roman" w:eastAsia="Times New Roman" w:hAnsi="Times New Roman"/>
                <w:sz w:val="14"/>
                <w:szCs w:val="14"/>
                <w:color w:val="0000EE"/>
                <w:w w:val="96"/>
              </w:rPr>
            </w:pPr>
            <w:hyperlink r:id="rId114">
              <w:r>
                <w:rPr>
                  <w:rFonts w:ascii="Times New Roman" w:cs="Times New Roman" w:eastAsia="Times New Roman" w:hAnsi="Times New Roman"/>
                  <w:sz w:val="14"/>
                  <w:szCs w:val="14"/>
                  <w:color w:val="0000EE"/>
                  <w:w w:val="96"/>
                </w:rPr>
                <w:t>Quarterly Report on Form 10-Q filed on June 16, 2022 (File No. 001-41374)).</w:t>
              </w:r>
            </w:hyperlink>
          </w:p>
        </w:tc>
        <w:tc>
          <w:tcPr>
            <w:tcW w:w="3300" w:type="dxa"/>
            <w:vAlign w:val="bottom"/>
            <w:gridSpan w:val="3"/>
          </w:tcPr>
          <w:p>
            <w:pPr>
              <w:spacing w:after="0"/>
              <w:rPr>
                <w:sz w:val="12"/>
                <w:szCs w:val="12"/>
                <w:color w:val="auto"/>
              </w:rPr>
            </w:pP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56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6"/>
              </w:rPr>
            </w:pPr>
            <w:hyperlink r:id="rId115">
              <w:r>
                <w:rPr>
                  <w:rFonts w:ascii="Times New Roman" w:cs="Times New Roman" w:eastAsia="Times New Roman" w:hAnsi="Times New Roman"/>
                  <w:sz w:val="14"/>
                  <w:szCs w:val="14"/>
                  <w:color w:val="0000EE"/>
                  <w:w w:val="96"/>
                </w:rPr>
                <w:t>Certificate of Correction to Third Amended and Restated Certificate of Incorporation of the Company (Incorporated by reference to Exhibit</w:t>
              </w:r>
            </w:hyperlink>
          </w:p>
        </w:tc>
      </w:tr>
      <w:tr>
        <w:trPr>
          <w:trHeight w:val="142"/>
        </w:trPr>
        <w:tc>
          <w:tcPr>
            <w:tcW w:w="680" w:type="dxa"/>
            <w:vAlign w:val="bottom"/>
          </w:tcPr>
          <w:p>
            <w:pPr>
              <w:spacing w:after="0"/>
              <w:rPr>
                <w:sz w:val="12"/>
                <w:szCs w:val="12"/>
                <w:color w:val="auto"/>
              </w:rPr>
            </w:pPr>
          </w:p>
        </w:tc>
        <w:tc>
          <w:tcPr>
            <w:tcW w:w="5740" w:type="dxa"/>
            <w:vAlign w:val="bottom"/>
            <w:tcBorders>
              <w:bottom w:val="single" w:sz="8" w:color="0000EE"/>
            </w:tcBorders>
            <w:gridSpan w:val="2"/>
          </w:tcPr>
          <w:p>
            <w:pPr>
              <w:spacing w:after="0" w:line="142" w:lineRule="exact"/>
              <w:rPr>
                <w:rFonts w:ascii="Times New Roman" w:cs="Times New Roman" w:eastAsia="Times New Roman" w:hAnsi="Times New Roman"/>
                <w:sz w:val="14"/>
                <w:szCs w:val="14"/>
                <w:color w:val="0000EE"/>
                <w:w w:val="96"/>
              </w:rPr>
            </w:pPr>
            <w:hyperlink r:id="rId115">
              <w:r>
                <w:rPr>
                  <w:rFonts w:ascii="Times New Roman" w:cs="Times New Roman" w:eastAsia="Times New Roman" w:hAnsi="Times New Roman"/>
                  <w:sz w:val="14"/>
                  <w:szCs w:val="14"/>
                  <w:color w:val="0000EE"/>
                  <w:w w:val="96"/>
                </w:rPr>
                <w:t>3.</w:t>
              </w:r>
              <w:r>
                <w:rPr>
                  <w:rFonts w:ascii="Times New Roman" w:cs="Times New Roman" w:eastAsia="Times New Roman" w:hAnsi="Times New Roman"/>
                  <w:sz w:val="14"/>
                  <w:szCs w:val="14"/>
                  <w:u w:val="single" w:color="auto"/>
                  <w:color w:val="0000EE"/>
                  <w:w w:val="96"/>
                </w:rPr>
                <w:t>2</w:t>
              </w:r>
              <w:r>
                <w:rPr>
                  <w:rFonts w:ascii="Times New Roman" w:cs="Times New Roman" w:eastAsia="Times New Roman" w:hAnsi="Times New Roman"/>
                  <w:sz w:val="14"/>
                  <w:szCs w:val="14"/>
                  <w:color w:val="0000EE"/>
                  <w:w w:val="96"/>
                </w:rPr>
                <w:t xml:space="preserve"> to the Company’s Quarterly Report on Form 10-Q filed on November 10, 2022 (File No. 001-41374)).</w:t>
              </w:r>
            </w:hyperlink>
          </w:p>
        </w:tc>
        <w:tc>
          <w:tcPr>
            <w:tcW w:w="1820" w:type="dxa"/>
            <w:vAlign w:val="bottom"/>
            <w:gridSpan w:val="2"/>
          </w:tcPr>
          <w:p>
            <w:pPr>
              <w:spacing w:after="0"/>
              <w:rPr>
                <w:sz w:val="12"/>
                <w:szCs w:val="12"/>
                <w:color w:val="auto"/>
              </w:rPr>
            </w:pPr>
          </w:p>
        </w:tc>
      </w:tr>
    </w:tbl>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7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040" w:right="47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3.3</w:t>
      </w:r>
      <w:hyperlink r:id="rId117">
        <w:r>
          <w:rPr>
            <w:rFonts w:ascii="Times New Roman" w:cs="Times New Roman" w:eastAsia="Times New Roman" w:hAnsi="Times New Roman"/>
            <w:sz w:val="14"/>
            <w:szCs w:val="14"/>
            <w:u w:val="single" w:color="auto"/>
            <w:color w:val="0000EE"/>
          </w:rPr>
          <w:t>Certificate of Amendment to Third Amended and Restated Certificate of Incorporation of the Company (Incorporated by reference to Exhibit</w:t>
        </w:r>
      </w:hyperlink>
      <w:r>
        <w:rPr>
          <w:rFonts w:ascii="Times New Roman" w:cs="Times New Roman" w:eastAsia="Times New Roman" w:hAnsi="Times New Roman"/>
          <w:sz w:val="14"/>
          <w:szCs w:val="14"/>
          <w:u w:val="single" w:color="auto"/>
          <w:color w:val="0000EE"/>
        </w:rPr>
        <w:t xml:space="preserve"> </w:t>
      </w:r>
      <w:hyperlink r:id="rId117">
        <w:r>
          <w:rPr>
            <w:rFonts w:ascii="Times New Roman" w:cs="Times New Roman" w:eastAsia="Times New Roman" w:hAnsi="Times New Roman"/>
            <w:sz w:val="14"/>
            <w:szCs w:val="14"/>
            <w:u w:val="single" w:color="auto"/>
            <w:color w:val="0000EE"/>
          </w:rPr>
          <w:t>3.1 to the Company’s Current Report on Form 8-K filed on June 20, 2024 (File No. 001-41374)).</w:t>
        </w:r>
      </w:hyperlink>
    </w:p>
    <w:p>
      <w:pPr>
        <w:spacing w:after="0" w:line="55" w:lineRule="exact"/>
        <w:rPr>
          <w:rFonts w:ascii="Times New Roman" w:cs="Times New Roman" w:eastAsia="Times New Roman" w:hAnsi="Times New Roman"/>
          <w:sz w:val="14"/>
          <w:szCs w:val="14"/>
          <w:u w:val="single" w:color="auto"/>
          <w:color w:val="0000EE"/>
        </w:rPr>
      </w:pPr>
    </w:p>
    <w:p>
      <w:pPr>
        <w:ind w:left="2040" w:right="47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3.4</w:t>
      </w:r>
      <w:hyperlink r:id="rId118">
        <w:r>
          <w:rPr>
            <w:rFonts w:ascii="Times New Roman" w:cs="Times New Roman" w:eastAsia="Times New Roman" w:hAnsi="Times New Roman"/>
            <w:sz w:val="14"/>
            <w:szCs w:val="14"/>
            <w:u w:val="single" w:color="auto"/>
            <w:color w:val="0000EE"/>
          </w:rPr>
          <w:t>Second Amended and Restated By-laws of the Company (Incorporated by reference to Exhibit 3.1 to the Company’s Current Report on Form</w:t>
        </w:r>
      </w:hyperlink>
      <w:r>
        <w:rPr>
          <w:rFonts w:ascii="Times New Roman" w:cs="Times New Roman" w:eastAsia="Times New Roman" w:hAnsi="Times New Roman"/>
          <w:sz w:val="14"/>
          <w:szCs w:val="14"/>
          <w:u w:val="single" w:color="auto"/>
          <w:color w:val="0000EE"/>
        </w:rPr>
        <w:t xml:space="preserve"> </w:t>
      </w:r>
      <w:hyperlink r:id="rId118">
        <w:r>
          <w:rPr>
            <w:rFonts w:ascii="Times New Roman" w:cs="Times New Roman" w:eastAsia="Times New Roman" w:hAnsi="Times New Roman"/>
            <w:sz w:val="14"/>
            <w:szCs w:val="14"/>
            <w:u w:val="single" w:color="auto"/>
            <w:color w:val="0000EE"/>
          </w:rPr>
          <w:t>8-K filed on March 15, 2024 (File No. 001-41374)).</w:t>
        </w:r>
      </w:hyperlink>
    </w:p>
    <w:p>
      <w:pPr>
        <w:spacing w:after="0" w:line="55" w:lineRule="exact"/>
        <w:rPr>
          <w:rFonts w:ascii="Times New Roman" w:cs="Times New Roman" w:eastAsia="Times New Roman" w:hAnsi="Times New Roman"/>
          <w:sz w:val="14"/>
          <w:szCs w:val="14"/>
          <w:u w:val="single" w:color="auto"/>
          <w:color w:val="0000EE"/>
        </w:rPr>
      </w:pPr>
    </w:p>
    <w:p>
      <w:pPr>
        <w:ind w:left="2040" w:right="47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hyperlink r:id="rId119">
        <w:r>
          <w:rPr>
            <w:rFonts w:ascii="Times New Roman" w:cs="Times New Roman" w:eastAsia="Times New Roman" w:hAnsi="Times New Roman"/>
            <w:sz w:val="14"/>
            <w:szCs w:val="14"/>
            <w:u w:val="single" w:color="auto"/>
            <w:color w:val="0000EE"/>
          </w:rPr>
          <w:t>Amended and Restated Investors’ Rights Agreement, dated July 30, 2021, among the Registrant and certain of its stockholders (Incorporated</w:t>
        </w:r>
      </w:hyperlink>
      <w:r>
        <w:rPr>
          <w:rFonts w:ascii="Times New Roman" w:cs="Times New Roman" w:eastAsia="Times New Roman" w:hAnsi="Times New Roman"/>
          <w:sz w:val="14"/>
          <w:szCs w:val="14"/>
          <w:u w:val="single" w:color="auto"/>
          <w:color w:val="0000EE"/>
        </w:rPr>
        <w:t xml:space="preserve"> </w:t>
      </w:r>
      <w:hyperlink r:id="rId119">
        <w:r>
          <w:rPr>
            <w:rFonts w:ascii="Times New Roman" w:cs="Times New Roman" w:eastAsia="Times New Roman" w:hAnsi="Times New Roman"/>
            <w:sz w:val="14"/>
            <w:szCs w:val="14"/>
            <w:u w:val="single" w:color="auto"/>
            <w:color w:val="0000EE"/>
          </w:rPr>
          <w:t>by reference to Exhibit 4.1 to the Company’s Registration Statement on Form S-1, as amended (File No. 333-264335)).</w:t>
        </w:r>
      </w:hyperlink>
    </w:p>
    <w:p>
      <w:pPr>
        <w:spacing w:after="0" w:line="55" w:lineRule="exact"/>
        <w:rPr>
          <w:rFonts w:ascii="Times New Roman" w:cs="Times New Roman" w:eastAsia="Times New Roman" w:hAnsi="Times New Roman"/>
          <w:sz w:val="14"/>
          <w:szCs w:val="14"/>
          <w:u w:val="single" w:color="auto"/>
          <w:color w:val="0000EE"/>
        </w:rPr>
      </w:pPr>
    </w:p>
    <w:p>
      <w:pPr>
        <w:ind w:left="2040" w:right="71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hyperlink r:id="rId120">
        <w:r>
          <w:rPr>
            <w:rFonts w:ascii="Times New Roman" w:cs="Times New Roman" w:eastAsia="Times New Roman" w:hAnsi="Times New Roman"/>
            <w:sz w:val="14"/>
            <w:szCs w:val="14"/>
            <w:u w:val="single" w:color="auto"/>
            <w:color w:val="0000EE"/>
          </w:rPr>
          <w:t>Specimen Common Stock Certificate (Incorporated by reference to Exhibit 4.2 to the Company’s Registration Statement on Form S-1, as</w:t>
        </w:r>
      </w:hyperlink>
      <w:r>
        <w:rPr>
          <w:rFonts w:ascii="Times New Roman" w:cs="Times New Roman" w:eastAsia="Times New Roman" w:hAnsi="Times New Roman"/>
          <w:sz w:val="14"/>
          <w:szCs w:val="14"/>
          <w:u w:val="single" w:color="auto"/>
          <w:color w:val="0000EE"/>
        </w:rPr>
        <w:t xml:space="preserve"> </w:t>
      </w:r>
      <w:hyperlink r:id="rId120">
        <w:r>
          <w:rPr>
            <w:rFonts w:ascii="Times New Roman" w:cs="Times New Roman" w:eastAsia="Times New Roman" w:hAnsi="Times New Roman"/>
            <w:sz w:val="14"/>
            <w:szCs w:val="14"/>
            <w:u w:val="single" w:color="auto"/>
            <w:color w:val="0000EE"/>
          </w:rPr>
          <w:t>amended (File No. 333-264335)).</w:t>
        </w:r>
      </w:hyperlink>
    </w:p>
    <w:p>
      <w:pPr>
        <w:spacing w:after="0" w:line="55" w:lineRule="exact"/>
        <w:rPr>
          <w:rFonts w:ascii="Times New Roman" w:cs="Times New Roman" w:eastAsia="Times New Roman" w:hAnsi="Times New Roman"/>
          <w:sz w:val="14"/>
          <w:szCs w:val="14"/>
          <w:u w:val="single" w:color="auto"/>
          <w:color w:val="0000EE"/>
        </w:rPr>
      </w:pPr>
    </w:p>
    <w:p>
      <w:pPr>
        <w:ind w:left="2040" w:right="55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hyperlink r:id="rId35">
        <w:r>
          <w:rPr>
            <w:rFonts w:ascii="Times New Roman" w:cs="Times New Roman" w:eastAsia="Times New Roman" w:hAnsi="Times New Roman"/>
            <w:sz w:val="14"/>
            <w:szCs w:val="14"/>
            <w:u w:val="single" w:color="auto"/>
            <w:color w:val="0000EE"/>
          </w:rPr>
          <w:t>Description of Securities (Incorporated by reference to Exhibit 4.3 to the Company’s Annual Report on Form 10-K filed on March 23, 2023</w:t>
        </w:r>
      </w:hyperlink>
      <w:r>
        <w:rPr>
          <w:rFonts w:ascii="Times New Roman" w:cs="Times New Roman" w:eastAsia="Times New Roman" w:hAnsi="Times New Roman"/>
          <w:sz w:val="14"/>
          <w:szCs w:val="14"/>
          <w:u w:val="single" w:color="auto"/>
          <w:color w:val="0000EE"/>
        </w:rPr>
        <w:t xml:space="preserve"> </w:t>
      </w:r>
      <w:hyperlink r:id="rId35">
        <w:r>
          <w:rPr>
            <w:rFonts w:ascii="Times New Roman" w:cs="Times New Roman" w:eastAsia="Times New Roman" w:hAnsi="Times New Roman"/>
            <w:sz w:val="14"/>
            <w:szCs w:val="14"/>
            <w:u w:val="single" w:color="auto"/>
            <w:color w:val="0000EE"/>
          </w:rPr>
          <w:t>(File No. 001-41374)).</w:t>
        </w:r>
      </w:hyperlink>
    </w:p>
    <w:p>
      <w:pPr>
        <w:spacing w:after="0" w:line="55" w:lineRule="exact"/>
        <w:rPr>
          <w:rFonts w:ascii="Times New Roman" w:cs="Times New Roman" w:eastAsia="Times New Roman" w:hAnsi="Times New Roman"/>
          <w:sz w:val="14"/>
          <w:szCs w:val="14"/>
          <w:u w:val="single" w:color="auto"/>
          <w:color w:val="0000EE"/>
        </w:rPr>
      </w:pPr>
    </w:p>
    <w:p>
      <w:pPr>
        <w:ind w:left="2040" w:right="61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4.4</w:t>
      </w:r>
      <w:hyperlink r:id="rId121">
        <w:r>
          <w:rPr>
            <w:rFonts w:ascii="Times New Roman" w:cs="Times New Roman" w:eastAsia="Times New Roman" w:hAnsi="Times New Roman"/>
            <w:sz w:val="14"/>
            <w:szCs w:val="14"/>
            <w:u w:val="single" w:color="auto"/>
            <w:color w:val="0000EE"/>
          </w:rPr>
          <w:t>Form of indenture for senior debt securities and the related form of senior debt security (Incorporated by reference to the Exhibit 4.4 of the</w:t>
        </w:r>
      </w:hyperlink>
      <w:r>
        <w:rPr>
          <w:rFonts w:ascii="Times New Roman" w:cs="Times New Roman" w:eastAsia="Times New Roman" w:hAnsi="Times New Roman"/>
          <w:sz w:val="14"/>
          <w:szCs w:val="14"/>
          <w:u w:val="single" w:color="auto"/>
          <w:color w:val="0000EE"/>
        </w:rPr>
        <w:t xml:space="preserve"> </w:t>
      </w:r>
      <w:hyperlink r:id="rId121">
        <w:r>
          <w:rPr>
            <w:rFonts w:ascii="Times New Roman" w:cs="Times New Roman" w:eastAsia="Times New Roman" w:hAnsi="Times New Roman"/>
            <w:sz w:val="14"/>
            <w:szCs w:val="14"/>
            <w:u w:val="single" w:color="auto"/>
            <w:color w:val="0000EE"/>
          </w:rPr>
          <w:t>Company’s Registration Statement on Form S-3 filed on June 28, 2024 (File No. 333-280570)).</w:t>
        </w:r>
      </w:hyperlink>
    </w:p>
    <w:p>
      <w:pPr>
        <w:spacing w:after="0" w:line="55" w:lineRule="exact"/>
        <w:rPr>
          <w:rFonts w:ascii="Times New Roman" w:cs="Times New Roman" w:eastAsia="Times New Roman" w:hAnsi="Times New Roman"/>
          <w:sz w:val="14"/>
          <w:szCs w:val="14"/>
          <w:u w:val="single" w:color="auto"/>
          <w:color w:val="0000EE"/>
        </w:rPr>
      </w:pPr>
    </w:p>
    <w:p>
      <w:pPr>
        <w:ind w:left="2040" w:right="439" w:hanging="529"/>
        <w:spacing w:after="0" w:line="261" w:lineRule="auto"/>
        <w:tabs>
          <w:tab w:leader="none" w:pos="1581" w:val="left"/>
        </w:tabs>
        <w:numPr>
          <w:ilvl w:val="0"/>
          <w:numId w:val="4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4.5</w:t>
      </w:r>
      <w:hyperlink r:id="rId122">
        <w:r>
          <w:rPr>
            <w:rFonts w:ascii="Times New Roman" w:cs="Times New Roman" w:eastAsia="Times New Roman" w:hAnsi="Times New Roman"/>
            <w:sz w:val="14"/>
            <w:szCs w:val="14"/>
            <w:u w:val="single" w:color="auto"/>
            <w:color w:val="0000EE"/>
          </w:rPr>
          <w:t>Form of indenture for subordinated debt securities and the related form of subordinated debt security (Incorporated by reference to the Exhibit</w:t>
        </w:r>
      </w:hyperlink>
      <w:r>
        <w:rPr>
          <w:rFonts w:ascii="Times New Roman" w:cs="Times New Roman" w:eastAsia="Times New Roman" w:hAnsi="Times New Roman"/>
          <w:sz w:val="14"/>
          <w:szCs w:val="14"/>
          <w:u w:val="single" w:color="auto"/>
          <w:color w:val="0000EE"/>
        </w:rPr>
        <w:t xml:space="preserve"> </w:t>
      </w:r>
      <w:hyperlink r:id="rId122">
        <w:r>
          <w:rPr>
            <w:rFonts w:ascii="Times New Roman" w:cs="Times New Roman" w:eastAsia="Times New Roman" w:hAnsi="Times New Roman"/>
            <w:sz w:val="14"/>
            <w:szCs w:val="14"/>
            <w:u w:val="single" w:color="auto"/>
            <w:color w:val="0000EE"/>
          </w:rPr>
          <w:t>4.5 of the Company’s Registration Statement on Form S-3 filed on June 28, 2024 (File No. 333-280570)).</w:t>
        </w:r>
      </w:hyperlink>
    </w:p>
    <w:p>
      <w:pPr>
        <w:spacing w:after="0" w:line="55" w:lineRule="exact"/>
        <w:rPr>
          <w:rFonts w:ascii="Times New Roman" w:cs="Times New Roman" w:eastAsia="Times New Roman" w:hAnsi="Times New Roman"/>
          <w:sz w:val="14"/>
          <w:szCs w:val="14"/>
          <w:u w:val="single" w:color="auto"/>
          <w:color w:val="0000EE"/>
        </w:rPr>
      </w:pPr>
    </w:p>
    <w:p>
      <w:pPr>
        <w:ind w:left="1580" w:hanging="69"/>
        <w:spacing w:after="0"/>
        <w:tabs>
          <w:tab w:leader="none" w:pos="1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   Form of Certificate of Designations.</w:t>
      </w:r>
    </w:p>
    <w:p>
      <w:pPr>
        <w:spacing w:after="0" w:line="105" w:lineRule="exact"/>
        <w:rPr>
          <w:rFonts w:ascii="Times New Roman" w:cs="Times New Roman" w:eastAsia="Times New Roman" w:hAnsi="Times New Roman"/>
          <w:sz w:val="12"/>
          <w:szCs w:val="12"/>
          <w:color w:val="auto"/>
        </w:rPr>
      </w:pPr>
    </w:p>
    <w:p>
      <w:pPr>
        <w:ind w:left="1580" w:hanging="69"/>
        <w:spacing w:after="0"/>
        <w:tabs>
          <w:tab w:leader="none" w:pos="1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4.7*   Form of Warrant Agreement.</w:t>
      </w:r>
    </w:p>
    <w:p>
      <w:pPr>
        <w:spacing w:after="0" w:line="105" w:lineRule="exact"/>
        <w:rPr>
          <w:rFonts w:ascii="Times New Roman" w:cs="Times New Roman" w:eastAsia="Times New Roman" w:hAnsi="Times New Roman"/>
          <w:sz w:val="12"/>
          <w:szCs w:val="12"/>
          <w:color w:val="auto"/>
        </w:rPr>
      </w:pPr>
    </w:p>
    <w:p>
      <w:pPr>
        <w:ind w:left="1580" w:hanging="69"/>
        <w:spacing w:after="0"/>
        <w:tabs>
          <w:tab w:leader="none" w:pos="1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4.8*   Form of Unit Certificate.</w:t>
      </w:r>
    </w:p>
    <w:p>
      <w:pPr>
        <w:spacing w:after="0" w:line="105" w:lineRule="exact"/>
        <w:rPr>
          <w:rFonts w:ascii="Times New Roman" w:cs="Times New Roman" w:eastAsia="Times New Roman" w:hAnsi="Times New Roman"/>
          <w:sz w:val="12"/>
          <w:szCs w:val="12"/>
          <w:color w:val="auto"/>
        </w:rPr>
      </w:pPr>
    </w:p>
    <w:p>
      <w:pPr>
        <w:ind w:left="1580" w:hanging="69"/>
        <w:spacing w:after="0"/>
        <w:tabs>
          <w:tab w:leader="none" w:pos="1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4.9*   Form of Preferred Stock Certificate.</w:t>
      </w:r>
    </w:p>
    <w:p>
      <w:pPr>
        <w:spacing w:after="0" w:line="89" w:lineRule="exact"/>
        <w:rPr>
          <w:rFonts w:ascii="Times New Roman" w:cs="Times New Roman" w:eastAsia="Times New Roman" w:hAnsi="Times New Roman"/>
          <w:sz w:val="14"/>
          <w:szCs w:val="14"/>
          <w:color w:val="auto"/>
        </w:rPr>
      </w:pPr>
    </w:p>
    <w:tbl>
      <w:tblPr>
        <w:tblLayout w:type="fixed"/>
        <w:tblInd w:w="152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2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5"/>
              </w:rPr>
              <w:t>Opinion of Goodwin Procter LLP (Base Prospectus).</w:t>
            </w:r>
          </w:p>
        </w:tc>
        <w:tc>
          <w:tcPr>
            <w:tcW w:w="3140" w:type="dxa"/>
            <w:vAlign w:val="bottom"/>
            <w:gridSpan w:val="4"/>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  5.2**</w:t>
            </w:r>
          </w:p>
        </w:tc>
        <w:tc>
          <w:tcPr>
            <w:tcW w:w="600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Opinion of Goodwin Procter LLP (ATM Prospectus)</w:t>
            </w:r>
          </w:p>
        </w:tc>
      </w:tr>
      <w:tr>
        <w:trPr>
          <w:trHeight w:val="20"/>
        </w:trPr>
        <w:tc>
          <w:tcPr>
            <w:tcW w:w="5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5"/>
              </w:rPr>
              <w:t>Consent of KPMG LLP, Independent Registered Public Accounting Firm</w:t>
            </w:r>
          </w:p>
        </w:tc>
        <w:tc>
          <w:tcPr>
            <w:tcW w:w="2040" w:type="dxa"/>
            <w:vAlign w:val="bottom"/>
            <w:gridSpan w:val="2"/>
          </w:tcPr>
          <w:p>
            <w:pPr>
              <w:spacing w:after="0"/>
              <w:rPr>
                <w:sz w:val="19"/>
                <w:szCs w:val="19"/>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600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5.1 hereto).</w:t>
            </w:r>
          </w:p>
        </w:tc>
      </w:tr>
      <w:tr>
        <w:trPr>
          <w:trHeight w:val="20"/>
        </w:trPr>
        <w:tc>
          <w:tcPr>
            <w:tcW w:w="5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600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5.2 hereto).</w:t>
            </w:r>
          </w:p>
        </w:tc>
      </w:tr>
      <w:tr>
        <w:trPr>
          <w:trHeight w:val="20"/>
        </w:trPr>
        <w:tc>
          <w:tcPr>
            <w:tcW w:w="5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5"/>
              </w:rPr>
              <w:t>Power of Attorney (included in the signature pages to this registration statement).</w:t>
            </w:r>
          </w:p>
        </w:tc>
        <w:tc>
          <w:tcPr>
            <w:tcW w:w="1600" w:type="dxa"/>
            <w:vAlign w:val="bottom"/>
          </w:tcPr>
          <w:p>
            <w:pPr>
              <w:spacing w:after="0"/>
              <w:rPr>
                <w:sz w:val="19"/>
                <w:szCs w:val="19"/>
                <w:color w:val="auto"/>
              </w:rPr>
            </w:pPr>
          </w:p>
        </w:tc>
      </w:t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w w:val="92"/>
              </w:rPr>
              <w:t>Form T-1</w:t>
            </w:r>
          </w:p>
        </w:tc>
        <w:tc>
          <w:tcPr>
            <w:tcW w:w="54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Statement of Eligibility of Trustee for Senior Indenture under the Trust Indenture Act of 1939.</w:t>
            </w: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25.2†</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w w:val="92"/>
              </w:rPr>
              <w:t>Form T-1</w:t>
            </w:r>
          </w:p>
        </w:tc>
        <w:tc>
          <w:tcPr>
            <w:tcW w:w="54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w w:val="95"/>
              </w:rPr>
              <w:t>Statement of Eligibility of Trustee for Subordinated Indenture under the Trust Indenture Act of 1939.</w:t>
            </w:r>
          </w:p>
        </w:tc>
      </w:tr>
      <w:tr>
        <w:trPr>
          <w:trHeight w:val="21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3"/>
              </w:rPr>
              <w:t>Filing Fee Table.</w:t>
            </w:r>
          </w:p>
        </w:tc>
        <w:tc>
          <w:tcPr>
            <w:tcW w:w="5080" w:type="dxa"/>
            <w:vAlign w:val="bottom"/>
            <w:gridSpan w:val="6"/>
          </w:tcPr>
          <w:p>
            <w:pPr>
              <w:spacing w:after="0"/>
              <w:rPr>
                <w:sz w:val="18"/>
                <w:szCs w:val="18"/>
                <w:color w:val="auto"/>
              </w:rPr>
            </w:pPr>
          </w:p>
        </w:tc>
      </w:tr>
    </w:tbl>
    <w:p>
      <w:pPr>
        <w:spacing w:after="0" w:line="190" w:lineRule="exact"/>
        <w:rPr>
          <w:rFonts w:ascii="Times New Roman" w:cs="Times New Roman" w:eastAsia="Times New Roman" w:hAnsi="Times New Roman"/>
          <w:sz w:val="14"/>
          <w:szCs w:val="14"/>
          <w:color w:val="auto"/>
        </w:rPr>
      </w:pPr>
    </w:p>
    <w:p>
      <w:pPr>
        <w:ind w:left="1520" w:right="499" w:hanging="9"/>
        <w:spacing w:after="0" w:line="250" w:lineRule="auto"/>
        <w:tabs>
          <w:tab w:leader="none" w:pos="184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exhibit(s) to a Current Report of the Registrant on Form 8-K and incorporated herein by reference, as applicable. ** Filed herewith.</w:t>
      </w:r>
    </w:p>
    <w:p>
      <w:pPr>
        <w:spacing w:after="0" w:line="1" w:lineRule="exact"/>
        <w:rPr>
          <w:rFonts w:ascii="Times New Roman" w:cs="Times New Roman" w:eastAsia="Times New Roman" w:hAnsi="Times New Roman"/>
          <w:sz w:val="14"/>
          <w:szCs w:val="14"/>
          <w:color w:val="auto"/>
        </w:rPr>
      </w:pPr>
    </w:p>
    <w:p>
      <w:pPr>
        <w:ind w:left="1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To be filed pursuant to Section 305(b)(2) of the U.S. Trust Indenture Act of 1939, as applicable.</w:t>
      </w:r>
    </w:p>
    <w:p>
      <w:pPr>
        <w:spacing w:after="0" w:line="100"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ind w:left="152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auto"/>
        </w:rPr>
        <w:t>Item 17</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2"/>
          <w:szCs w:val="12"/>
          <w:b w:val="1"/>
          <w:bCs w:val="1"/>
          <w:i w:val="1"/>
          <w:iCs w:val="1"/>
          <w:color w:val="auto"/>
        </w:rPr>
        <w:t>Undertakings</w:t>
      </w:r>
    </w:p>
    <w:p>
      <w:pPr>
        <w:spacing w:after="0" w:line="86" w:lineRule="exact"/>
        <w:rPr>
          <w:sz w:val="20"/>
          <w:szCs w:val="20"/>
          <w:color w:val="auto"/>
        </w:rPr>
      </w:pPr>
    </w:p>
    <w:p>
      <w:pPr>
        <w:ind w:left="1700" w:hanging="189"/>
        <w:spacing w:after="0"/>
        <w:tabs>
          <w:tab w:leader="none" w:pos="1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63" w:lineRule="exact"/>
        <w:rPr>
          <w:rFonts w:ascii="Times New Roman" w:cs="Times New Roman" w:eastAsia="Times New Roman" w:hAnsi="Times New Roman"/>
          <w:sz w:val="14"/>
          <w:szCs w:val="14"/>
          <w:color w:val="auto"/>
        </w:rPr>
      </w:pPr>
    </w:p>
    <w:p>
      <w:pPr>
        <w:ind w:left="2040" w:hanging="199"/>
        <w:spacing w:after="0"/>
        <w:tabs>
          <w:tab w:leader="none" w:pos="20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2" w:lineRule="exact"/>
        <w:rPr>
          <w:rFonts w:ascii="Times New Roman" w:cs="Times New Roman" w:eastAsia="Times New Roman" w:hAnsi="Times New Roman"/>
          <w:sz w:val="14"/>
          <w:szCs w:val="14"/>
          <w:color w:val="auto"/>
        </w:rPr>
      </w:pPr>
    </w:p>
    <w:p>
      <w:pPr>
        <w:ind w:left="2580" w:hanging="330"/>
        <w:spacing w:after="0"/>
        <w:tabs>
          <w:tab w:leader="none" w:pos="2580"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92" w:lineRule="exact"/>
        <w:rPr>
          <w:rFonts w:ascii="Times New Roman" w:cs="Times New Roman" w:eastAsia="Times New Roman" w:hAnsi="Times New Roman"/>
          <w:sz w:val="14"/>
          <w:szCs w:val="14"/>
          <w:color w:val="auto"/>
        </w:rPr>
      </w:pPr>
    </w:p>
    <w:p>
      <w:pPr>
        <w:ind w:left="2580" w:right="419" w:hanging="330"/>
        <w:spacing w:after="0" w:line="292" w:lineRule="auto"/>
        <w:tabs>
          <w:tab w:leader="none" w:pos="2580" w:val="left"/>
        </w:tabs>
        <w:numPr>
          <w:ilvl w:val="2"/>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0" w:lineRule="exact"/>
        <w:rPr>
          <w:rFonts w:ascii="Times New Roman" w:cs="Times New Roman" w:eastAsia="Times New Roman" w:hAnsi="Times New Roman"/>
          <w:sz w:val="12"/>
          <w:szCs w:val="12"/>
          <w:color w:val="auto"/>
        </w:rPr>
      </w:pPr>
    </w:p>
    <w:p>
      <w:pPr>
        <w:ind w:left="2580" w:right="439" w:hanging="330"/>
        <w:spacing w:after="0" w:line="245" w:lineRule="auto"/>
        <w:tabs>
          <w:tab w:leader="none" w:pos="2580"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 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48" w:lineRule="exact"/>
        <w:rPr>
          <w:rFonts w:ascii="Times New Roman" w:cs="Times New Roman" w:eastAsia="Times New Roman" w:hAnsi="Times New Roman"/>
          <w:sz w:val="14"/>
          <w:szCs w:val="14"/>
          <w:color w:val="auto"/>
        </w:rPr>
      </w:pPr>
    </w:p>
    <w:p>
      <w:pPr>
        <w:jc w:val="both"/>
        <w:ind w:left="1520" w:right="539" w:firstLine="321"/>
        <w:spacing w:after="0" w:line="251" w:lineRule="auto"/>
        <w:tabs>
          <w:tab w:leader="none" w:pos="204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43" w:lineRule="exact"/>
        <w:rPr>
          <w:rFonts w:ascii="Times New Roman" w:cs="Times New Roman" w:eastAsia="Times New Roman" w:hAnsi="Times New Roman"/>
          <w:sz w:val="14"/>
          <w:szCs w:val="14"/>
          <w:color w:val="auto"/>
        </w:rPr>
      </w:pPr>
    </w:p>
    <w:p>
      <w:pPr>
        <w:ind w:left="1520" w:right="859" w:firstLine="321"/>
        <w:spacing w:after="0" w:line="261" w:lineRule="auto"/>
        <w:tabs>
          <w:tab w:leader="none" w:pos="204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6" w:lineRule="exact"/>
        <w:rPr>
          <w:rFonts w:ascii="Times New Roman" w:cs="Times New Roman" w:eastAsia="Times New Roman" w:hAnsi="Times New Roman"/>
          <w:sz w:val="14"/>
          <w:szCs w:val="14"/>
          <w:color w:val="auto"/>
        </w:rPr>
      </w:pPr>
    </w:p>
    <w:p>
      <w:pPr>
        <w:ind w:left="2040" w:hanging="199"/>
        <w:spacing w:after="0"/>
        <w:tabs>
          <w:tab w:leader="none" w:pos="20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2" w:lineRule="exact"/>
        <w:rPr>
          <w:rFonts w:ascii="Times New Roman" w:cs="Times New Roman" w:eastAsia="Times New Roman" w:hAnsi="Times New Roman"/>
          <w:sz w:val="14"/>
          <w:szCs w:val="14"/>
          <w:color w:val="auto"/>
        </w:rPr>
      </w:pPr>
    </w:p>
    <w:p>
      <w:pPr>
        <w:ind w:left="2580" w:right="499" w:hanging="330"/>
        <w:spacing w:after="0" w:line="261" w:lineRule="auto"/>
        <w:tabs>
          <w:tab w:leader="none" w:pos="2580"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5" w:lineRule="exact"/>
        <w:rPr>
          <w:rFonts w:ascii="Times New Roman" w:cs="Times New Roman" w:eastAsia="Times New Roman" w:hAnsi="Times New Roman"/>
          <w:sz w:val="14"/>
          <w:szCs w:val="14"/>
          <w:color w:val="auto"/>
        </w:rPr>
      </w:pPr>
    </w:p>
    <w:p>
      <w:pPr>
        <w:ind w:left="2580" w:right="399" w:hanging="330"/>
        <w:spacing w:after="0" w:line="243" w:lineRule="auto"/>
        <w:tabs>
          <w:tab w:leader="none" w:pos="2580"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8" w:lineRule="exact"/>
        <w:rPr>
          <w:sz w:val="20"/>
          <w:szCs w:val="20"/>
          <w:color w:val="auto"/>
        </w:rPr>
      </w:pPr>
    </w:p>
    <w:p>
      <w:pPr>
        <w:ind w:left="2580" w:right="619"/>
        <w:spacing w:after="0" w:line="261" w:lineRule="auto"/>
        <w:rPr>
          <w:sz w:val="20"/>
          <w:szCs w:val="20"/>
          <w:color w:val="auto"/>
        </w:rPr>
      </w:pPr>
      <w:r>
        <w:rPr>
          <w:rFonts w:ascii="Times New Roman" w:cs="Times New Roman" w:eastAsia="Times New Roman" w:hAnsi="Times New Roman"/>
          <w:sz w:val="14"/>
          <w:szCs w:val="14"/>
          <w:color w:val="auto"/>
        </w:rPr>
        <w:t>any statement that was made in the registration statement or prospectus that was part of the registration statement or made in any such document immediately prior to such effective date.</w:t>
      </w:r>
    </w:p>
    <w:p>
      <w:pPr>
        <w:spacing w:after="0" w:line="136" w:lineRule="exact"/>
        <w:rPr>
          <w:sz w:val="20"/>
          <w:szCs w:val="20"/>
          <w:color w:val="auto"/>
        </w:rPr>
      </w:pPr>
    </w:p>
    <w:p>
      <w:pPr>
        <w:ind w:left="1520" w:right="819" w:firstLine="321"/>
        <w:spacing w:after="0" w:line="261" w:lineRule="auto"/>
        <w:tabs>
          <w:tab w:leader="none" w:pos="204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136" w:lineRule="exact"/>
        <w:rPr>
          <w:sz w:val="20"/>
          <w:szCs w:val="20"/>
          <w:color w:val="auto"/>
        </w:rPr>
      </w:pPr>
    </w:p>
    <w:p>
      <w:pPr>
        <w:ind w:left="1520" w:right="439" w:firstLine="330"/>
        <w:spacing w:after="0" w:line="248" w:lineRule="auto"/>
        <w:rPr>
          <w:sz w:val="20"/>
          <w:szCs w:val="20"/>
          <w:color w:val="auto"/>
        </w:rPr>
      </w:pPr>
      <w:r>
        <w:rPr>
          <w:rFonts w:ascii="Times New Roman" w:cs="Times New Roman" w:eastAsia="Times New Roman" w:hAnsi="Times New Roman"/>
          <w:sz w:val="14"/>
          <w:szCs w:val="14"/>
          <w:color w:val="auto"/>
        </w:rPr>
        <w:t>The undersigned Registrant undertake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sellers to the purchaser and will be considered to offer or sell such securities to such purchaser:</w:t>
      </w:r>
    </w:p>
    <w:p>
      <w:pPr>
        <w:spacing w:after="0" w:line="74" w:lineRule="exact"/>
        <w:rPr>
          <w:sz w:val="20"/>
          <w:szCs w:val="20"/>
          <w:color w:val="auto"/>
        </w:rPr>
      </w:pPr>
    </w:p>
    <w:p>
      <w:pPr>
        <w:ind w:left="2580" w:right="459" w:hanging="330"/>
        <w:spacing w:after="0" w:line="261" w:lineRule="auto"/>
        <w:tabs>
          <w:tab w:leader="none" w:pos="25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5" w:lineRule="exact"/>
        <w:rPr>
          <w:rFonts w:ascii="Times New Roman" w:cs="Times New Roman" w:eastAsia="Times New Roman" w:hAnsi="Times New Roman"/>
          <w:sz w:val="14"/>
          <w:szCs w:val="14"/>
          <w:color w:val="auto"/>
        </w:rPr>
      </w:pPr>
    </w:p>
    <w:p>
      <w:pPr>
        <w:ind w:left="2580" w:right="499" w:hanging="330"/>
        <w:spacing w:after="0" w:line="261" w:lineRule="auto"/>
        <w:tabs>
          <w:tab w:leader="none" w:pos="25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5" w:lineRule="exact"/>
        <w:rPr>
          <w:rFonts w:ascii="Times New Roman" w:cs="Times New Roman" w:eastAsia="Times New Roman" w:hAnsi="Times New Roman"/>
          <w:sz w:val="14"/>
          <w:szCs w:val="14"/>
          <w:color w:val="auto"/>
        </w:rPr>
      </w:pPr>
    </w:p>
    <w:p>
      <w:pPr>
        <w:ind w:left="2580" w:right="759" w:hanging="330"/>
        <w:spacing w:after="0" w:line="261" w:lineRule="auto"/>
        <w:tabs>
          <w:tab w:leader="none" w:pos="25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65" w:lineRule="exact"/>
        <w:rPr>
          <w:rFonts w:ascii="Times New Roman" w:cs="Times New Roman" w:eastAsia="Times New Roman" w:hAnsi="Times New Roman"/>
          <w:sz w:val="14"/>
          <w:szCs w:val="14"/>
          <w:color w:val="auto"/>
        </w:rPr>
      </w:pPr>
    </w:p>
    <w:p>
      <w:pPr>
        <w:ind w:left="2580" w:hanging="330"/>
        <w:spacing w:after="0"/>
        <w:tabs>
          <w:tab w:leader="none" w:pos="25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3" w:lineRule="exact"/>
        <w:rPr>
          <w:rFonts w:ascii="Times New Roman" w:cs="Times New Roman" w:eastAsia="Times New Roman" w:hAnsi="Times New Roman"/>
          <w:sz w:val="14"/>
          <w:szCs w:val="14"/>
          <w:color w:val="auto"/>
        </w:rPr>
      </w:pPr>
    </w:p>
    <w:p>
      <w:pPr>
        <w:jc w:val="both"/>
        <w:ind w:left="1520" w:right="399" w:firstLine="321"/>
        <w:spacing w:after="0" w:line="248" w:lineRule="auto"/>
        <w:tabs>
          <w:tab w:leader="none" w:pos="204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145" w:lineRule="exact"/>
        <w:rPr>
          <w:rFonts w:ascii="Times New Roman" w:cs="Times New Roman" w:eastAsia="Times New Roman" w:hAnsi="Times New Roman"/>
          <w:sz w:val="14"/>
          <w:szCs w:val="14"/>
          <w:color w:val="auto"/>
        </w:rPr>
      </w:pPr>
    </w:p>
    <w:p>
      <w:pPr>
        <w:ind w:left="1520" w:right="379" w:firstLine="321"/>
        <w:spacing w:after="0" w:line="251" w:lineRule="auto"/>
        <w:tabs>
          <w:tab w:leader="none" w:pos="204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 section (a) of section 310 of the Trust Indenture Act, or the Act in accordance with the rules and regulations prescribed by the Commission under section 305(b)(2) of the Act.</w:t>
      </w:r>
    </w:p>
    <w:p>
      <w:pPr>
        <w:spacing w:after="0" w:line="143" w:lineRule="exact"/>
        <w:rPr>
          <w:rFonts w:ascii="Times New Roman" w:cs="Times New Roman" w:eastAsia="Times New Roman" w:hAnsi="Times New Roman"/>
          <w:sz w:val="14"/>
          <w:szCs w:val="14"/>
          <w:color w:val="auto"/>
        </w:rPr>
      </w:pPr>
    </w:p>
    <w:p>
      <w:pPr>
        <w:ind w:left="1520" w:right="439" w:firstLine="321"/>
        <w:spacing w:after="0" w:line="292" w:lineRule="auto"/>
        <w:tabs>
          <w:tab w:leader="none" w:pos="2042"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1700" w:hanging="189"/>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497(h) under the Securities Act of 1933 shall be deemed to be part of this registration statement as of the time it was declared effective.</w:t>
      </w:r>
    </w:p>
    <w:p>
      <w:pPr>
        <w:spacing w:after="0" w:line="150" w:lineRule="exact"/>
        <w:rPr>
          <w:rFonts w:ascii="Times New Roman" w:cs="Times New Roman" w:eastAsia="Times New Roman" w:hAnsi="Times New Roman"/>
          <w:sz w:val="14"/>
          <w:szCs w:val="14"/>
          <w:color w:val="auto"/>
        </w:rPr>
      </w:pPr>
    </w:p>
    <w:p>
      <w:pPr>
        <w:ind w:left="1520" w:right="619" w:firstLine="321"/>
        <w:spacing w:after="0" w:line="251" w:lineRule="auto"/>
        <w:tabs>
          <w:tab w:leader="none" w:pos="204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3" w:lineRule="exact"/>
        <w:rPr>
          <w:sz w:val="20"/>
          <w:szCs w:val="20"/>
          <w:color w:val="auto"/>
        </w:rPr>
      </w:pPr>
    </w:p>
    <w:p>
      <w:pPr>
        <w:ind w:left="1520" w:right="419"/>
        <w:spacing w:after="0" w:line="244"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7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7" w:lineRule="exact"/>
        <w:rPr>
          <w:sz w:val="20"/>
          <w:szCs w:val="20"/>
          <w:color w:val="auto"/>
        </w:rPr>
      </w:pPr>
    </w:p>
    <w:p>
      <w:pPr>
        <w:jc w:val="both"/>
        <w:ind w:left="1520" w:right="559"/>
        <w:spacing w:after="0" w:line="251"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Boston, State of Massachusetts, on May 18, 2026.</w:t>
      </w:r>
    </w:p>
    <w:p>
      <w:pPr>
        <w:spacing w:after="0" w:line="16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PEPGEN INC.</w:t>
      </w:r>
    </w:p>
    <w:p>
      <w:pPr>
        <w:spacing w:after="0" w:line="167" w:lineRule="exact"/>
        <w:rPr>
          <w:sz w:val="20"/>
          <w:szCs w:val="20"/>
          <w:color w:val="auto"/>
        </w:rPr>
      </w:pPr>
    </w:p>
    <w:tbl>
      <w:tblPr>
        <w:tblLayout w:type="fixed"/>
        <w:tblInd w:w="6480" w:type="dxa"/>
        <w:tblCellMar>
          <w:top w:w="0" w:type="dxa"/>
          <w:left w:w="0" w:type="dxa"/>
          <w:bottom w:w="0" w:type="dxa"/>
          <w:right w:w="0" w:type="dxa"/>
        </w:tblCellMar>
      </w:tblPr>
      <w:tr>
        <w:trPr>
          <w:trHeight w:val="174"/>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 James McArthur</w:t>
            </w:r>
          </w:p>
        </w:tc>
      </w:tr>
      <w:tr>
        <w:trPr>
          <w:trHeight w:val="140"/>
        </w:trPr>
        <w:tc>
          <w:tcPr>
            <w:tcW w:w="3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w w:val="96"/>
              </w:rPr>
              <w:t>Name:</w:t>
            </w:r>
          </w:p>
        </w:tc>
        <w:tc>
          <w:tcPr>
            <w:tcW w:w="292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James McArthur, Ph.D.</w:t>
            </w:r>
          </w:p>
        </w:tc>
      </w:tr>
      <w:tr>
        <w:trPr>
          <w:trHeight w:val="174"/>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0159"/>
          </w:cols>
          <w:pgMar w:left="300" w:top="37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67" w:lineRule="exact"/>
        <w:rPr>
          <w:sz w:val="20"/>
          <w:szCs w:val="20"/>
          <w:color w:val="auto"/>
        </w:rPr>
      </w:pPr>
    </w:p>
    <w:p>
      <w:pPr>
        <w:ind w:left="1520" w:right="399"/>
        <w:spacing w:after="0" w:line="292" w:lineRule="auto"/>
        <w:rPr>
          <w:sz w:val="20"/>
          <w:szCs w:val="20"/>
          <w:color w:val="auto"/>
        </w:rPr>
      </w:pPr>
      <w:r>
        <w:rPr>
          <w:rFonts w:ascii="Times New Roman" w:cs="Times New Roman" w:eastAsia="Times New Roman" w:hAnsi="Times New Roman"/>
          <w:sz w:val="12"/>
          <w:szCs w:val="12"/>
          <w:color w:val="auto"/>
        </w:rPr>
        <w:t>Each person whose signature appears below constitutes and appoints each of James McArthur and Noel Donnelly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22" w:lineRule="exact"/>
        <w:rPr>
          <w:sz w:val="20"/>
          <w:szCs w:val="20"/>
          <w:color w:val="auto"/>
        </w:rPr>
      </w:pPr>
    </w:p>
    <w:p>
      <w:pPr>
        <w:ind w:left="1520" w:right="419"/>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dated indicated.</w:t>
      </w:r>
    </w:p>
    <w:p>
      <w:pPr>
        <w:spacing w:after="0" w:line="150"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0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James McArthur</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Chief Executive Officer and 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James McArthur, Ph.D.</w:t>
            </w:r>
          </w:p>
        </w:tc>
        <w:tc>
          <w:tcPr>
            <w:tcW w:w="80" w:type="dxa"/>
            <w:vAlign w:val="bottom"/>
          </w:tcPr>
          <w:p>
            <w:pPr>
              <w:spacing w:after="0"/>
              <w:rPr>
                <w:sz w:val="14"/>
                <w:szCs w:val="14"/>
                <w:color w:val="auto"/>
              </w:rPr>
            </w:pPr>
          </w:p>
        </w:tc>
        <w:tc>
          <w:tcPr>
            <w:tcW w:w="37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color w:val="auto"/>
                <w:w w:val="96"/>
              </w:rPr>
              <w:t>(Principal Executive Officer)</w:t>
            </w: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Noel Donnelly</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Noel Donnelly, M.B.A.</w:t>
            </w:r>
          </w:p>
        </w:tc>
        <w:tc>
          <w:tcPr>
            <w:tcW w:w="80" w:type="dxa"/>
            <w:vAlign w:val="bottom"/>
          </w:tcPr>
          <w:p>
            <w:pPr>
              <w:spacing w:after="0"/>
              <w:rPr>
                <w:sz w:val="14"/>
                <w:szCs w:val="14"/>
                <w:color w:val="auto"/>
              </w:rPr>
            </w:pPr>
          </w:p>
        </w:tc>
        <w:tc>
          <w:tcPr>
            <w:tcW w:w="37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color w:val="auto"/>
                <w:w w:val="96"/>
              </w:rPr>
              <w:t>(Principal Financial Officer and Principal Accounting Officer)</w:t>
            </w: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Laurie B. Keating</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Chairperson of the Board of Directors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Laurie B. Keating, J.D.</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Habib Joseph Dable</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Habib Joseph Dable</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Mitchell H. Finer</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Mitchell H. Finer, Ph.D.</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Heidi Henson</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Heidi Henson</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Howard Mayer</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Howard Mayer, M.D.</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/s/ Joshua Resnick</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Joshua Resnick, M.D., M.B.A.</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2"/>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Lisa Wyman</w:t>
            </w:r>
          </w:p>
        </w:tc>
        <w:tc>
          <w:tcPr>
            <w:tcW w:w="8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18, 2026</w:t>
            </w:r>
          </w:p>
        </w:tc>
      </w:tr>
      <w:tr>
        <w:trPr>
          <w:trHeight w:val="165"/>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Lisa Wyman, M.S.</w:t>
            </w: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ectPr>
          <w:pgSz w:w="11900" w:h="16838" w:orient="portrait"/>
          <w:cols w:equalWidth="0" w:num="1">
            <w:col w:w="10159"/>
          </w:cols>
          <w:pgMar w:left="300" w:top="376" w:right="1440" w:bottom="1440" w:gutter="0" w:footer="0" w:header="0"/>
        </w:sectPr>
      </w:pPr>
    </w:p>
    <w:bookmarkStart w:id="64" w:name="page65"/>
    <w:bookmarkEnd w:id="64"/>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1.2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PEPGEN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Common Stock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AT-THE-MARKET EQUITY OFFERING SALES AGREEMENT</w:t>
      </w:r>
    </w:p>
    <w:p>
      <w:pPr>
        <w:spacing w:after="0" w:line="16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2"/>
          <w:szCs w:val="12"/>
          <w:color w:val="auto"/>
        </w:rPr>
        <w:t>May 18, 2026</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STIFEL, NICOLAUS &amp; COMPANY, INCORPORATED</w:t>
      </w:r>
    </w:p>
    <w:p>
      <w:pPr>
        <w:ind w:left="380"/>
        <w:spacing w:after="0" w:line="184" w:lineRule="auto"/>
        <w:rPr>
          <w:sz w:val="20"/>
          <w:szCs w:val="20"/>
          <w:color w:val="auto"/>
        </w:rPr>
      </w:pPr>
      <w:r>
        <w:rPr>
          <w:rFonts w:ascii="Times New Roman" w:cs="Times New Roman" w:eastAsia="Times New Roman" w:hAnsi="Times New Roman"/>
          <w:sz w:val="14"/>
          <w:szCs w:val="14"/>
          <w:color w:val="auto"/>
        </w:rPr>
        <w:t>787 7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Avenue,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ind w:left="38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3" w:lineRule="exact"/>
        <w:rPr>
          <w:sz w:val="20"/>
          <w:szCs w:val="20"/>
          <w:color w:val="auto"/>
        </w:rPr>
      </w:pPr>
    </w:p>
    <w:p>
      <w:pPr>
        <w:ind w:left="380" w:right="459" w:firstLine="330"/>
        <w:spacing w:after="0" w:line="245" w:lineRule="auto"/>
        <w:rPr>
          <w:sz w:val="20"/>
          <w:szCs w:val="20"/>
          <w:color w:val="auto"/>
        </w:rPr>
      </w:pPr>
      <w:r>
        <w:rPr>
          <w:rFonts w:ascii="Times New Roman" w:cs="Times New Roman" w:eastAsia="Times New Roman" w:hAnsi="Times New Roman"/>
          <w:sz w:val="14"/>
          <w:szCs w:val="14"/>
          <w:color w:val="auto"/>
        </w:rPr>
        <w:t>PepGen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proposes, subject to the terms and conditions stated herein, to issue and sell from time to time to or through Stifel, Nicolaus &amp; Company, Incorporated (“</w:t>
      </w:r>
      <w:r>
        <w:rPr>
          <w:rFonts w:ascii="Times New Roman" w:cs="Times New Roman" w:eastAsia="Times New Roman" w:hAnsi="Times New Roman"/>
          <w:sz w:val="14"/>
          <w:szCs w:val="14"/>
          <w:u w:val="single" w:color="auto"/>
          <w:color w:val="auto"/>
        </w:rPr>
        <w:t>Stifel Nicolaus</w:t>
      </w:r>
      <w:r>
        <w:rPr>
          <w:rFonts w:ascii="Times New Roman" w:cs="Times New Roman" w:eastAsia="Times New Roman" w:hAnsi="Times New Roman"/>
          <w:sz w:val="14"/>
          <w:szCs w:val="14"/>
          <w:color w:val="auto"/>
        </w:rPr>
        <w:t>”), as sales agent and/or principal (“</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shares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of the Company’s common stock, $0.0001 par value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having an aggregate offering price of up to $100.0 million on the terms set forth in Section 2 of this At-The-Market Equity Offering Sales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The Company agrees that whenever it determines to sell Shares directly to the Agent as principal, it will enter into a separate agreement (each, a “</w:t>
      </w:r>
      <w:r>
        <w:rPr>
          <w:rFonts w:ascii="Times New Roman" w:cs="Times New Roman" w:eastAsia="Times New Roman" w:hAnsi="Times New Roman"/>
          <w:sz w:val="14"/>
          <w:szCs w:val="14"/>
          <w:u w:val="single" w:color="auto"/>
          <w:color w:val="auto"/>
        </w:rPr>
        <w:t>Terms Agreement</w:t>
      </w:r>
      <w:r>
        <w:rPr>
          <w:rFonts w:ascii="Times New Roman" w:cs="Times New Roman" w:eastAsia="Times New Roman" w:hAnsi="Times New Roman"/>
          <w:sz w:val="14"/>
          <w:szCs w:val="14"/>
          <w:color w:val="auto"/>
        </w:rPr>
        <w:t>”) in substantially the form of Annex I hereto, relating to such sale in accordance with Section 3 of this Agreement.</w:t>
      </w:r>
    </w:p>
    <w:p>
      <w:pPr>
        <w:spacing w:after="0" w:line="149" w:lineRule="exact"/>
        <w:rPr>
          <w:sz w:val="20"/>
          <w:szCs w:val="20"/>
          <w:color w:val="auto"/>
        </w:rPr>
      </w:pPr>
    </w:p>
    <w:p>
      <w:pPr>
        <w:ind w:left="380" w:right="759" w:firstLine="330"/>
        <w:spacing w:after="0" w:line="251"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Company represents and warrants to the Agent that as of the date of this Agreement, any applicable Registration Statement Amendment Date (as defined in Section 3 below), each Company Periodic Report Date (as defined in Section 3 below), each Applicable Time (as defined in Section 1(a) below) and each Settlement Date (as defined in Section 2 below):</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Compliance with Registration Requirements</w:t>
      </w:r>
      <w:r>
        <w:rPr>
          <w:rFonts w:ascii="Times New Roman" w:cs="Times New Roman" w:eastAsia="Times New Roman" w:hAnsi="Times New Roman"/>
          <w:sz w:val="12"/>
          <w:szCs w:val="12"/>
          <w:color w:val="auto"/>
        </w:rPr>
        <w:t>. The Company has prepared and filed, or will prepare and file, with the Securities and Exchange</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Commission (the “</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a shelf registration statement pursuant to the Securities Act of 1933, as amended (the “</w:t>
      </w:r>
      <w:r>
        <w:rPr>
          <w:rFonts w:ascii="Times New Roman" w:cs="Times New Roman" w:eastAsia="Times New Roman" w:hAnsi="Times New Roman"/>
          <w:sz w:val="12"/>
          <w:szCs w:val="12"/>
          <w:u w:val="single" w:color="auto"/>
          <w:color w:val="auto"/>
        </w:rPr>
        <w:t>1933 Act</w:t>
      </w:r>
      <w:r>
        <w:rPr>
          <w:rFonts w:ascii="Times New Roman" w:cs="Times New Roman" w:eastAsia="Times New Roman" w:hAnsi="Times New Roman"/>
          <w:sz w:val="12"/>
          <w:szCs w:val="12"/>
          <w:color w:val="auto"/>
        </w:rPr>
        <w:t>”), on Form S-3, in</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respect of the Company’s Common Stock (including the Shares) (collectively,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which shall not have become effective earlier than three</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years prior to the date hereof; such registration statement, and any post-effective amendment thereto, was declared effective by the Commission, or shall</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be declared effective prior to the Company instructing the Agent to make any sales of Shares, and no stop order suspending the effectiveness of such</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registration statement or any part thereof has been issued and no proceeding for that purpose has been initiated or, to the knowledge of the Company,</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threatened by the Commission, and no notice of objection of the Commission to the use of such form of registration statement or any post-effective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amendment thereto pursuant to Rule 401(g)(2) under the 1933 Act has been received by the Company (the base prospectus filed as part of such</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registration statement, in the form in which it has most recently been filed with the Commission on or prior to the date of this Agreement, is hereinafter</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called the “</w:t>
      </w:r>
      <w:r>
        <w:rPr>
          <w:rFonts w:ascii="Times New Roman" w:cs="Times New Roman" w:eastAsia="Times New Roman" w:hAnsi="Times New Roman"/>
          <w:sz w:val="12"/>
          <w:szCs w:val="12"/>
          <w:u w:val="single" w:color="auto"/>
          <w:color w:val="auto"/>
        </w:rPr>
        <w:t>Basic Prospectus</w:t>
      </w:r>
      <w:r>
        <w:rPr>
          <w:rFonts w:ascii="Times New Roman" w:cs="Times New Roman" w:eastAsia="Times New Roman" w:hAnsi="Times New Roman"/>
          <w:sz w:val="12"/>
          <w:szCs w:val="12"/>
          <w:color w:val="auto"/>
        </w:rPr>
        <w:t>”; the various parts of such registration statement, including all exhibits thereto and any prospectus supplement relating to</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Shares that is filed with the Commission and deemed by virtue of Rule 430B to be part of such registration statement, or any subsequent registration</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statement on Form S-3, each as amended at the time such part of the registration statement became effective, are hereinafter collectively called the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the prospectus specifically relating to the Shares prepared and filed, or to be filed, with the Commission is hereinafter called</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u w:val="single" w:color="auto"/>
          <w:color w:val="auto"/>
        </w:rPr>
        <w:t>Original Prospectus</w:t>
      </w:r>
      <w:r>
        <w:rPr>
          <w:rFonts w:ascii="Times New Roman" w:cs="Times New Roman" w:eastAsia="Times New Roman" w:hAnsi="Times New Roman"/>
          <w:sz w:val="12"/>
          <w:szCs w:val="12"/>
          <w:color w:val="auto"/>
        </w:rPr>
        <w:t>”; the Basic Prospectus, as amended and supplemented by the Original Prospectus is hereinafter called the “</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any</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reference herein to the Basic Prospectus, the Original Prospectus or the Prospectus shall be deemed to refer to and include the documents incorporated</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by reference therein pursuant to Item 12 of Form S-3 under the 1933 Act; any reference to any amendment or supplement to the Basic Prospectus, the</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Original Prospectus or the Prospectus shall be deemed to refer to and include any post-effective amendment to the Registration Statement, any</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prospectus supplement relating to the Shares filed with the Commission pursuant to Rule 424(b) under the 1933 Act and any documents filed under the</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Securities Exchange Act of 1934, as amended (the “</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and the rules and regulations of the Commission thereunder (the “</w:t>
      </w:r>
      <w:r>
        <w:rPr>
          <w:rFonts w:ascii="Times New Roman" w:cs="Times New Roman" w:eastAsia="Times New Roman" w:hAnsi="Times New Roman"/>
          <w:sz w:val="14"/>
          <w:szCs w:val="14"/>
          <w:u w:val="single" w:color="auto"/>
          <w:color w:val="auto"/>
        </w:rPr>
        <w:t>1934 Act</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u w:val="single" w:color="auto"/>
          <w:color w:val="auto"/>
        </w:rPr>
        <w:t>Regulations</w:t>
      </w:r>
      <w:r>
        <w:rPr>
          <w:rFonts w:ascii="Times New Roman" w:cs="Times New Roman" w:eastAsia="Times New Roman" w:hAnsi="Times New Roman"/>
          <w:sz w:val="12"/>
          <w:szCs w:val="12"/>
          <w:color w:val="auto"/>
        </w:rPr>
        <w:t>”), and incorporated therein, in each case after the date of the Basic Prospectus, the Original Prospectus or the Prospectus, as the case may</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be; any reference to any</w:t>
      </w:r>
    </w:p>
    <w:p>
      <w:pPr>
        <w:sectPr>
          <w:pgSz w:w="11900" w:h="16838" w:orient="portrait"/>
          <w:cols w:equalWidth="0" w:num="1">
            <w:col w:w="9019"/>
          </w:cols>
          <w:pgMar w:left="1440" w:top="123" w:right="1440" w:bottom="1440" w:gutter="0" w:footer="0" w:header="0"/>
        </w:sectPr>
      </w:pPr>
    </w:p>
    <w:bookmarkStart w:id="65" w:name="page66"/>
    <w:bookmarkEnd w:id="65"/>
    <w:p>
      <w:pPr>
        <w:ind w:left="380" w:right="57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and any “issuer free writing prospectus” as defined in Rule 433 under the 1933 Act relating to the Shares is hereinafter called an “</w:t>
      </w:r>
      <w:r>
        <w:rPr>
          <w:rFonts w:ascii="Times New Roman" w:cs="Times New Roman" w:eastAsia="Times New Roman" w:hAnsi="Times New Roman"/>
          <w:sz w:val="14"/>
          <w:szCs w:val="14"/>
          <w:u w:val="single" w:color="auto"/>
          <w:color w:val="auto"/>
        </w:rPr>
        <w:t>Issuer Free Writing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380" w:right="419" w:firstLine="330"/>
        <w:spacing w:after="0" w:line="297" w:lineRule="auto"/>
        <w:rPr>
          <w:sz w:val="20"/>
          <w:szCs w:val="20"/>
          <w:color w:val="auto"/>
        </w:rPr>
      </w:pPr>
      <w:r>
        <w:rPr>
          <w:rFonts w:ascii="Times New Roman" w:cs="Times New Roman" w:eastAsia="Times New Roman" w:hAnsi="Times New Roman"/>
          <w:sz w:val="12"/>
          <w:szCs w:val="12"/>
          <w:color w:val="auto"/>
        </w:rPr>
        <w:t>No order preventing or suspending the use of the Basic Prospectus, the Original Prospectus, the Prospectus or any Issuer Free Writing Prospectus has been issued by the Commission, and the Basic Prospectus and the Original Prospectus, at the time of filing thereof, at each Time of Sale and each Settlement Date, conformed in all material respects to the requirements of the 1933 Act and the rules and regulations of the Commission thereunder (the “</w:t>
      </w:r>
      <w:r>
        <w:rPr>
          <w:rFonts w:ascii="Times New Roman" w:cs="Times New Roman" w:eastAsia="Times New Roman" w:hAnsi="Times New Roman"/>
          <w:sz w:val="12"/>
          <w:szCs w:val="12"/>
          <w:u w:val="single" w:color="auto"/>
          <w:color w:val="auto"/>
        </w:rPr>
        <w:t>1933 Act Regulations</w:t>
      </w:r>
      <w:r>
        <w:rPr>
          <w:rFonts w:ascii="Times New Roman" w:cs="Times New Roman" w:eastAsia="Times New Roman" w:hAnsi="Times New Roman"/>
          <w:sz w:val="12"/>
          <w:szCs w:val="12"/>
          <w:color w:val="auto"/>
        </w:rPr>
        <w: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19" w:lineRule="exact"/>
        <w:rPr>
          <w:sz w:val="20"/>
          <w:szCs w:val="20"/>
          <w:color w:val="auto"/>
        </w:rPr>
      </w:pPr>
    </w:p>
    <w:p>
      <w:pPr>
        <w:ind w:left="380" w:right="379" w:firstLine="330"/>
        <w:spacing w:after="0" w:line="244" w:lineRule="auto"/>
        <w:rPr>
          <w:sz w:val="20"/>
          <w:szCs w:val="20"/>
          <w:color w:val="auto"/>
        </w:rPr>
      </w:pPr>
      <w:r>
        <w:rPr>
          <w:rFonts w:ascii="Times New Roman" w:cs="Times New Roman" w:eastAsia="Times New Roman" w:hAnsi="Times New Roman"/>
          <w:sz w:val="14"/>
          <w:szCs w:val="14"/>
          <w:color w:val="auto"/>
        </w:rPr>
        <w:t>For the purposes of this Agreement, the “</w:t>
      </w:r>
      <w:r>
        <w:rPr>
          <w:rFonts w:ascii="Times New Roman" w:cs="Times New Roman" w:eastAsia="Times New Roman" w:hAnsi="Times New Roman"/>
          <w:sz w:val="14"/>
          <w:szCs w:val="14"/>
          <w:u w:val="single" w:color="auto"/>
          <w:color w:val="auto"/>
        </w:rPr>
        <w:t>Applicable Time</w:t>
      </w:r>
      <w:r>
        <w:rPr>
          <w:rFonts w:ascii="Times New Roman" w:cs="Times New Roman" w:eastAsia="Times New Roman" w:hAnsi="Times New Roman"/>
          <w:sz w:val="14"/>
          <w:szCs w:val="14"/>
          <w:color w:val="auto"/>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Times New Roman" w:cs="Times New Roman" w:eastAsia="Times New Roman" w:hAnsi="Times New Roman"/>
          <w:sz w:val="14"/>
          <w:szCs w:val="14"/>
          <w:u w:val="single" w:color="auto"/>
          <w:color w:val="auto"/>
        </w:rPr>
        <w:t>General Disclosure Package</w:t>
      </w:r>
      <w:r>
        <w:rPr>
          <w:rFonts w:ascii="Times New Roman" w:cs="Times New Roman" w:eastAsia="Times New Roman" w:hAnsi="Times New Roman"/>
          <w:sz w:val="14"/>
          <w:szCs w:val="14"/>
          <w:color w:val="auto"/>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Original Prospectus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spacing w:after="0" w:line="148" w:lineRule="exact"/>
        <w:rPr>
          <w:sz w:val="20"/>
          <w:szCs w:val="20"/>
          <w:color w:val="auto"/>
        </w:rPr>
      </w:pPr>
    </w:p>
    <w:p>
      <w:pPr>
        <w:ind w:left="380" w:right="399" w:firstLine="330"/>
        <w:spacing w:after="0" w:line="245"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Incorporation of Documents by Reference</w:t>
      </w:r>
      <w:r>
        <w:rPr>
          <w:rFonts w:ascii="Times New Roman" w:cs="Times New Roman" w:eastAsia="Times New Roman" w:hAnsi="Times New Roman"/>
          <w:sz w:val="14"/>
          <w:szCs w:val="14"/>
          <w:color w:val="auto"/>
        </w:rPr>
        <w:t>. The documents incorporated or deemed to be incorporated by reference in the Registration Statement, the General Disclosure Package and the Prospectus, when they became effective or were filed with the Commission, as the case may be, complied in all material respects with the requirements of the 1934 Act and the 1934 Act Regulations, and, when read together with the other information in the Prospectus, (i) at the time the Registration Statement was last deemed effective, (ii) at the time the Prospectus was issued and (iii) on the date of this Agreement, did not contain an untrue statement of a material fact or omit to state a material fact required to be stated therein or necessary to make the statements therein, in light of the circumstances under which they were made, not misleading</w:t>
      </w:r>
    </w:p>
    <w:p>
      <w:pPr>
        <w:spacing w:after="0" w:line="149" w:lineRule="exact"/>
        <w:rPr>
          <w:sz w:val="20"/>
          <w:szCs w:val="20"/>
          <w:color w:val="auto"/>
        </w:rPr>
      </w:pPr>
    </w:p>
    <w:p>
      <w:pPr>
        <w:ind w:left="380" w:right="379" w:firstLine="330"/>
        <w:spacing w:after="0" w:line="248"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Company Not Ineligible Issuer</w:t>
      </w:r>
      <w:r>
        <w:rPr>
          <w:rFonts w:ascii="Times New Roman" w:cs="Times New Roman" w:eastAsia="Times New Roman" w:hAnsi="Times New Roman"/>
          <w:sz w:val="14"/>
          <w:szCs w:val="14"/>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 (within the meaning of Rule 164(h)(2) of the 1933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45" w:lineRule="exact"/>
        <w:rPr>
          <w:sz w:val="20"/>
          <w:szCs w:val="20"/>
          <w:color w:val="auto"/>
        </w:rPr>
      </w:pPr>
    </w:p>
    <w:p>
      <w:pPr>
        <w:ind w:left="380" w:right="499" w:firstLine="330"/>
        <w:spacing w:after="0" w:line="345" w:lineRule="auto"/>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u w:val="single" w:color="auto"/>
          <w:color w:val="auto"/>
        </w:rPr>
        <w:t>Emerging Growth Company Status.</w:t>
      </w:r>
      <w:r>
        <w:rPr>
          <w:rFonts w:ascii="Times New Roman" w:cs="Times New Roman" w:eastAsia="Times New Roman" w:hAnsi="Times New Roman"/>
          <w:sz w:val="12"/>
          <w:szCs w:val="12"/>
          <w:color w:val="auto"/>
        </w:rPr>
        <w:t xml:space="preserve"> From the time of the filing of the Registration Statement with the Commission through the date hereof, the Company has been and is an “emerging growth company,” as defined in Section 2(a) of the 1933 Act (an “</w:t>
      </w:r>
      <w:r>
        <w:rPr>
          <w:rFonts w:ascii="Times New Roman" w:cs="Times New Roman" w:eastAsia="Times New Roman" w:hAnsi="Times New Roman"/>
          <w:sz w:val="12"/>
          <w:szCs w:val="12"/>
          <w:u w:val="single" w:color="auto"/>
          <w:color w:val="auto"/>
        </w:rPr>
        <w:t>Emerging Growth Company</w:t>
      </w:r>
      <w:r>
        <w:rPr>
          <w:rFonts w:ascii="Times New Roman" w:cs="Times New Roman" w:eastAsia="Times New Roman" w:hAnsi="Times New Roman"/>
          <w:sz w:val="12"/>
          <w:szCs w:val="12"/>
          <w:color w:val="auto"/>
        </w:rPr>
        <w:t>”).</w:t>
      </w:r>
    </w:p>
    <w:p>
      <w:pPr>
        <w:spacing w:after="0" w:line="90" w:lineRule="exact"/>
        <w:rPr>
          <w:sz w:val="20"/>
          <w:szCs w:val="20"/>
          <w:color w:val="auto"/>
        </w:rPr>
      </w:pPr>
    </w:p>
    <w:p>
      <w:pPr>
        <w:ind w:left="380" w:right="579" w:firstLine="330"/>
        <w:spacing w:after="0" w:line="251"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Independent Accountants</w:t>
      </w:r>
      <w:r>
        <w:rPr>
          <w:rFonts w:ascii="Times New Roman" w:cs="Times New Roman" w:eastAsia="Times New Roman" w:hAnsi="Times New Roman"/>
          <w:sz w:val="14"/>
          <w:szCs w:val="14"/>
          <w:color w:val="auto"/>
        </w:rPr>
        <w:t>. The accountants who certified the financial statements and supporting schedules, if any, included in the Registration Statement, the General Disclosure Package and the Prospectus are independent public accountants as required by the 1933 Act, the 1933 Act Regulations and the Public Company Accounting Oversight Board.</w:t>
      </w:r>
    </w:p>
    <w:p>
      <w:pPr>
        <w:spacing w:after="0" w:line="143" w:lineRule="exact"/>
        <w:rPr>
          <w:sz w:val="20"/>
          <w:szCs w:val="20"/>
          <w:color w:val="auto"/>
        </w:rPr>
      </w:pPr>
    </w:p>
    <w:p>
      <w:pPr>
        <w:ind w:left="380" w:right="419" w:firstLine="330"/>
        <w:spacing w:after="0" w:line="248" w:lineRule="auto"/>
        <w:rPr>
          <w:sz w:val="20"/>
          <w:szCs w:val="20"/>
          <w:color w:val="auto"/>
        </w:rPr>
      </w:pP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financial statements included in the Registration Statement, the General Disclosure Package and the Prospectus, together with the related schedules and notes, present fairly in all material respects the financial position of the Company and its consolidated subsidiary at the dates indicated and the statement of operations, stockholders’ equity and cash flows of the Company and its consolidated subsidiary for the periods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66" w:name="page67"/>
    <w:bookmarkEnd w:id="66"/>
    <w:p>
      <w:pPr>
        <w:ind w:left="380" w:right="459"/>
        <w:spacing w:after="0" w:line="24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specified; said financial statements have been prepared in conformity with U.S. generally accepted accounting principles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applied on a consistent basis throughout the periods involved, except, in the case of unaudited interim financial statements, subject to normal year-end audit adjustments and the exclusion of certain footnotes by the applicable rules of the Commission. The supporting schedules, if any, present fairly in all material respects in accordance with GAAP the information required to be stated therein. The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The interactive data in eXtensible Business Reporting Language included in the Registration Statement, General Disclosure Package or the Prospectus fairly presents the information called for in all material respects and has been prepared in accordance with the Commission’s rules and guidelines applicable thereto.</w:t>
      </w:r>
    </w:p>
    <w:p>
      <w:pPr>
        <w:spacing w:after="0" w:line="153" w:lineRule="exact"/>
        <w:rPr>
          <w:sz w:val="20"/>
          <w:szCs w:val="20"/>
          <w:color w:val="auto"/>
        </w:rPr>
      </w:pPr>
    </w:p>
    <w:p>
      <w:pPr>
        <w:ind w:left="380" w:right="379" w:firstLine="330"/>
        <w:spacing w:after="0" w:line="294" w:lineRule="auto"/>
        <w:rPr>
          <w:sz w:val="20"/>
          <w:szCs w:val="20"/>
          <w:color w:val="auto"/>
        </w:rPr>
      </w:pPr>
      <w:r>
        <w:rPr>
          <w:rFonts w:ascii="Times New Roman" w:cs="Times New Roman" w:eastAsia="Times New Roman" w:hAnsi="Times New Roman"/>
          <w:sz w:val="12"/>
          <w:szCs w:val="12"/>
          <w:color w:val="auto"/>
        </w:rPr>
        <w:t xml:space="preserve">(g)  </w:t>
      </w:r>
      <w:r>
        <w:rPr>
          <w:rFonts w:ascii="Times New Roman" w:cs="Times New Roman" w:eastAsia="Times New Roman" w:hAnsi="Times New Roman"/>
          <w:sz w:val="12"/>
          <w:szCs w:val="12"/>
          <w:u w:val="single" w:color="auto"/>
          <w:color w:val="auto"/>
        </w:rPr>
        <w:t>No Material Adverse Change in Business</w:t>
      </w:r>
      <w:r>
        <w:rPr>
          <w:rFonts w:ascii="Times New Roman" w:cs="Times New Roman" w:eastAsia="Times New Roman" w:hAnsi="Times New Roman"/>
          <w:sz w:val="12"/>
          <w:szCs w:val="12"/>
          <w:color w:val="auto"/>
        </w:rPr>
        <w:t>. Except as otherwise stated therein, since the respective dates as of which information is given in the Registration Statement, the General Disclosure Package or the Prospectus, (i) there has been no material adverse change in the condition, financial or otherwise, or in the earnings, business affairs or business prospects of the Company and its subsidiary considered as one enterprise, whether or not arising in the ordinary course of business (a “</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(ii) there have been no transactions entered into by the Company or its subsidiary, other than those in the ordinary course of business, which are material with respect to the Company and its subsidiary considered as one enterprise, and (iii) there has been no dividend or distribution of any kind declared, paid or made by the Company on any class of its capital stock.</w:t>
      </w:r>
    </w:p>
    <w:p>
      <w:pPr>
        <w:spacing w:after="0" w:line="120" w:lineRule="exact"/>
        <w:rPr>
          <w:sz w:val="20"/>
          <w:szCs w:val="20"/>
          <w:color w:val="auto"/>
        </w:rPr>
      </w:pPr>
    </w:p>
    <w:p>
      <w:pPr>
        <w:jc w:val="both"/>
        <w:ind w:left="380" w:right="439" w:firstLine="330"/>
        <w:spacing w:after="0" w:line="245" w:lineRule="auto"/>
        <w:rPr>
          <w:sz w:val="20"/>
          <w:szCs w:val="20"/>
          <w:color w:val="auto"/>
        </w:rPr>
      </w:pPr>
      <w:r>
        <w:rPr>
          <w:rFonts w:ascii="Times New Roman" w:cs="Times New Roman" w:eastAsia="Times New Roman" w:hAnsi="Times New Roman"/>
          <w:sz w:val="14"/>
          <w:szCs w:val="14"/>
          <w:color w:val="auto"/>
        </w:rPr>
        <w:t xml:space="preserve">(h)  </w:t>
      </w:r>
      <w:r>
        <w:rPr>
          <w:rFonts w:ascii="Times New Roman" w:cs="Times New Roman" w:eastAsia="Times New Roman" w:hAnsi="Times New Roman"/>
          <w:sz w:val="14"/>
          <w:szCs w:val="14"/>
          <w:u w:val="single" w:color="auto"/>
          <w:color w:val="auto"/>
        </w:rPr>
        <w:t>Good Standing of the Company</w:t>
      </w:r>
      <w:r>
        <w:rPr>
          <w:rFonts w:ascii="Times New Roman" w:cs="Times New Roman" w:eastAsia="Times New Roman" w:hAnsi="Times New Roman"/>
          <w:sz w:val="14"/>
          <w:szCs w:val="14"/>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reasonably be expected to result in a Material Adverse Effect.</w:t>
      </w:r>
    </w:p>
    <w:p>
      <w:pPr>
        <w:spacing w:after="0" w:line="149" w:lineRule="exact"/>
        <w:rPr>
          <w:sz w:val="20"/>
          <w:szCs w:val="20"/>
          <w:color w:val="auto"/>
        </w:rPr>
      </w:pPr>
    </w:p>
    <w:p>
      <w:pPr>
        <w:ind w:left="380" w:right="419" w:firstLine="330"/>
        <w:spacing w:after="0" w:line="288" w:lineRule="auto"/>
        <w:rPr>
          <w:sz w:val="20"/>
          <w:szCs w:val="20"/>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Good Standing of the Subsidiary</w:t>
      </w:r>
      <w:r>
        <w:rPr>
          <w:rFonts w:ascii="Times New Roman" w:cs="Times New Roman" w:eastAsia="Times New Roman" w:hAnsi="Times New Roman"/>
          <w:sz w:val="12"/>
          <w:szCs w:val="12"/>
          <w:color w:val="auto"/>
        </w:rPr>
        <w:t>. The “significant subsidiary” of the Company (as such term is defined in Rule 1-02 of Regulation S-X) (the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its subsidiary, free and clear of any security interest, mortgage, pledge, lien, encumbrance, claim or equity. None of the outstanding shares of capital stock of any Subsidiary were issued in violation of the preemptive or similar rights of any securityholder of such Subsidiary. The only subsidiary of the Company is the subsidiary listed on Exhibit 21.1 to the most recent Annual Report on Form 10-K filed by the Company with the Commission.</w:t>
      </w:r>
    </w:p>
    <w:p>
      <w:pPr>
        <w:spacing w:after="0" w:line="289" w:lineRule="exact"/>
        <w:rPr>
          <w:sz w:val="20"/>
          <w:szCs w:val="20"/>
          <w:color w:val="auto"/>
        </w:rPr>
      </w:pPr>
    </w:p>
    <w:p>
      <w:pPr>
        <w:ind w:left="380" w:right="479" w:firstLine="330"/>
        <w:spacing w:after="0" w:line="245" w:lineRule="auto"/>
        <w:rPr>
          <w:sz w:val="20"/>
          <w:szCs w:val="20"/>
          <w:color w:val="auto"/>
        </w:rPr>
      </w:pPr>
      <w:r>
        <w:rPr>
          <w:rFonts w:ascii="Times New Roman" w:cs="Times New Roman" w:eastAsia="Times New Roman" w:hAnsi="Times New Roman"/>
          <w:sz w:val="14"/>
          <w:szCs w:val="14"/>
          <w:color w:val="auto"/>
        </w:rPr>
        <w:t xml:space="preserve">(j)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 The authorized, issued and outstanding shares of capital stock of the Company are as set forth in the Registration Statement, the General Disclosure Package and the Prospectus (except for subsequent issuances, if any, pursuant to this Agreement, pursuant to reservations, agreements or employee benefit plans referred to in the Registration Statement, the General Disclosure Package and the Prospectus or pursuant to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 holder of the Company.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67" w:name="page68"/>
    <w:bookmarkEnd w:id="67"/>
    <w:p>
      <w:pPr>
        <w:ind w:left="7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(k)   </w:t>
      </w:r>
      <w:r>
        <w:rPr>
          <w:rFonts w:ascii="Times New Roman" w:cs="Times New Roman" w:eastAsia="Times New Roman" w:hAnsi="Times New Roman"/>
          <w:sz w:val="14"/>
          <w:szCs w:val="14"/>
          <w:u w:val="single" w:color="auto"/>
          <w:color w:val="auto"/>
        </w:rPr>
        <w:t>Authorization of Agreement</w:t>
      </w:r>
      <w:r>
        <w:rPr>
          <w:rFonts w:ascii="Times New Roman" w:cs="Times New Roman" w:eastAsia="Times New Roman" w:hAnsi="Times New Roman"/>
          <w:sz w:val="14"/>
          <w:szCs w:val="14"/>
          <w:color w:val="auto"/>
        </w:rPr>
        <w:t>. This Agreement has been duly authorized, executed and delivered by the Company.</w:t>
      </w:r>
    </w:p>
    <w:p>
      <w:pPr>
        <w:spacing w:after="0" w:line="163" w:lineRule="exact"/>
        <w:rPr>
          <w:sz w:val="20"/>
          <w:szCs w:val="20"/>
          <w:color w:val="auto"/>
        </w:rPr>
      </w:pPr>
    </w:p>
    <w:p>
      <w:pPr>
        <w:ind w:left="380" w:right="459" w:firstLine="330"/>
        <w:spacing w:after="0" w:line="294" w:lineRule="auto"/>
        <w:rPr>
          <w:sz w:val="20"/>
          <w:szCs w:val="20"/>
          <w:color w:val="auto"/>
        </w:rPr>
      </w:pPr>
      <w:r>
        <w:rPr>
          <w:rFonts w:ascii="Times New Roman" w:cs="Times New Roman" w:eastAsia="Times New Roman" w:hAnsi="Times New Roman"/>
          <w:sz w:val="12"/>
          <w:szCs w:val="12"/>
          <w:color w:val="auto"/>
        </w:rPr>
        <w:t xml:space="preserve">(l)  </w:t>
      </w:r>
      <w:r>
        <w:rPr>
          <w:rFonts w:ascii="Times New Roman" w:cs="Times New Roman" w:eastAsia="Times New Roman" w:hAnsi="Times New Roman"/>
          <w:sz w:val="12"/>
          <w:szCs w:val="12"/>
          <w:u w:val="single" w:color="auto"/>
          <w:color w:val="auto"/>
        </w:rPr>
        <w:t>Authorization and Description of Shares</w:t>
      </w:r>
      <w:r>
        <w:rPr>
          <w:rFonts w:ascii="Times New Roman" w:cs="Times New Roman" w:eastAsia="Times New Roman" w:hAnsi="Times New Roman"/>
          <w:sz w:val="12"/>
          <w:szCs w:val="12"/>
          <w:color w:val="auto"/>
        </w:rPr>
        <w:t>. The Shares have been duly authorized for issuance and sale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 holder of the Company, except as have been waived in writing as of the date of this Agreement. The Common Stock conforms to all statements relating thereto contained in the Registration Statement, the General Disclosure Package and the Prospectus and such description conforms in all material respects to the rights set forth in the instruments defining the same. No holder of Shares will be subject to personal liability by reason of being such a holder.</w:t>
      </w:r>
    </w:p>
    <w:p>
      <w:pPr>
        <w:spacing w:after="0" w:line="120" w:lineRule="exact"/>
        <w:rPr>
          <w:sz w:val="20"/>
          <w:szCs w:val="20"/>
          <w:color w:val="auto"/>
        </w:rPr>
      </w:pPr>
    </w:p>
    <w:p>
      <w:pPr>
        <w:ind w:left="380" w:right="439" w:firstLine="330"/>
        <w:spacing w:after="0" w:line="313" w:lineRule="auto"/>
        <w:rPr>
          <w:sz w:val="20"/>
          <w:szCs w:val="20"/>
          <w:color w:val="auto"/>
        </w:rPr>
      </w:pPr>
      <w:r>
        <w:rPr>
          <w:rFonts w:ascii="Times New Roman" w:cs="Times New Roman" w:eastAsia="Times New Roman" w:hAnsi="Times New Roman"/>
          <w:sz w:val="12"/>
          <w:szCs w:val="12"/>
          <w:color w:val="auto"/>
        </w:rPr>
        <w:t xml:space="preserve">(m)  </w:t>
      </w:r>
      <w:r>
        <w:rPr>
          <w:rFonts w:ascii="Times New Roman" w:cs="Times New Roman" w:eastAsia="Times New Roman" w:hAnsi="Times New Roman"/>
          <w:sz w:val="12"/>
          <w:szCs w:val="12"/>
          <w:u w:val="single" w:color="auto"/>
          <w:color w:val="auto"/>
        </w:rPr>
        <w:t>Registration Rights</w:t>
      </w:r>
      <w:r>
        <w:rPr>
          <w:rFonts w:ascii="Times New Roman" w:cs="Times New Roman" w:eastAsia="Times New Roman" w:hAnsi="Times New Roman"/>
          <w:sz w:val="12"/>
          <w:szCs w:val="12"/>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08" w:lineRule="exact"/>
        <w:rPr>
          <w:sz w:val="20"/>
          <w:szCs w:val="20"/>
          <w:color w:val="auto"/>
        </w:rPr>
      </w:pPr>
    </w:p>
    <w:p>
      <w:pPr>
        <w:ind w:left="380" w:right="379" w:firstLine="330"/>
        <w:spacing w:after="0" w:line="285" w:lineRule="auto"/>
        <w:rPr>
          <w:sz w:val="20"/>
          <w:szCs w:val="20"/>
          <w:color w:val="auto"/>
        </w:rPr>
      </w:pPr>
      <w:r>
        <w:rPr>
          <w:rFonts w:ascii="Times New Roman" w:cs="Times New Roman" w:eastAsia="Times New Roman" w:hAnsi="Times New Roman"/>
          <w:sz w:val="12"/>
          <w:szCs w:val="12"/>
          <w:color w:val="auto"/>
        </w:rPr>
        <w:t xml:space="preserve">(n)  </w:t>
      </w:r>
      <w:r>
        <w:rPr>
          <w:rFonts w:ascii="Times New Roman" w:cs="Times New Roman" w:eastAsia="Times New Roman" w:hAnsi="Times New Roman"/>
          <w:sz w:val="12"/>
          <w:szCs w:val="12"/>
          <w:u w:val="single" w:color="auto"/>
          <w:color w:val="auto"/>
        </w:rPr>
        <w:t>Absence of Violations, Defaults and Conflicts</w:t>
      </w:r>
      <w:r>
        <w:rPr>
          <w:rFonts w:ascii="Times New Roman" w:cs="Times New Roman" w:eastAsia="Times New Roman" w:hAnsi="Times New Roman"/>
          <w:sz w:val="12"/>
          <w:szCs w:val="12"/>
          <w:color w:val="auto"/>
        </w:rPr>
        <w:t>. Neither the Company nor its subsidiary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its subsidiary is a party or by which it or any of them may be bound or to which any of the properties or assets of the Company or its subsidiary is subject (collectively, “</w:t>
      </w:r>
      <w:r>
        <w:rPr>
          <w:rFonts w:ascii="Times New Roman" w:cs="Times New Roman" w:eastAsia="Times New Roman" w:hAnsi="Times New Roman"/>
          <w:sz w:val="12"/>
          <w:szCs w:val="12"/>
          <w:u w:val="single" w:color="auto"/>
          <w:color w:val="auto"/>
        </w:rPr>
        <w:t>Agreements and Instruments</w:t>
      </w:r>
      <w:r>
        <w:rPr>
          <w:rFonts w:ascii="Times New Roman" w:cs="Times New Roman" w:eastAsia="Times New Roman" w:hAnsi="Times New Roman"/>
          <w:sz w:val="12"/>
          <w:szCs w:val="12"/>
          <w:color w:val="auto"/>
        </w:rPr>
        <w:t>”), except for such defaults that would not, singly or in the aggregate, reasonably be expected to result in a Material Adverse Effect, or (iii) in violation of any law, statute, rule, regulation, judgment, order, writ or decree of any arbitrator, court, governmental body, regulatory body, administrative agency or other authority, body or agency having jurisdiction over the Company or its subsidiary or any of their respective properties, assets or operations (each, a “</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Shares and the use of the proceeds from the sale of the Shares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its subsidiary or (Y) any law, statute, rule, regulation, judgment, order, writ or decree of any Governmental Entity, except in the case of clause (Y) above, for such violation that would not, singly or in the aggregate,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subsidiary.</w:t>
      </w:r>
    </w:p>
    <w:p>
      <w:pPr>
        <w:spacing w:after="0" w:line="200" w:lineRule="exact"/>
        <w:rPr>
          <w:sz w:val="20"/>
          <w:szCs w:val="20"/>
          <w:color w:val="auto"/>
        </w:rPr>
      </w:pPr>
    </w:p>
    <w:p>
      <w:pPr>
        <w:spacing w:after="0" w:line="253" w:lineRule="exact"/>
        <w:rPr>
          <w:sz w:val="20"/>
          <w:szCs w:val="20"/>
          <w:color w:val="auto"/>
        </w:rPr>
      </w:pPr>
    </w:p>
    <w:p>
      <w:pPr>
        <w:ind w:left="380" w:right="459" w:firstLine="330"/>
        <w:spacing w:after="0" w:line="313" w:lineRule="auto"/>
        <w:rPr>
          <w:sz w:val="20"/>
          <w:szCs w:val="20"/>
          <w:color w:val="auto"/>
        </w:rPr>
      </w:pPr>
      <w:r>
        <w:rPr>
          <w:rFonts w:ascii="Times New Roman" w:cs="Times New Roman" w:eastAsia="Times New Roman" w:hAnsi="Times New Roman"/>
          <w:sz w:val="12"/>
          <w:szCs w:val="12"/>
          <w:color w:val="auto"/>
        </w:rPr>
        <w:t xml:space="preserve">(o)  </w:t>
      </w:r>
      <w:r>
        <w:rPr>
          <w:rFonts w:ascii="Times New Roman" w:cs="Times New Roman" w:eastAsia="Times New Roman" w:hAnsi="Times New Roman"/>
          <w:sz w:val="12"/>
          <w:szCs w:val="12"/>
          <w:u w:val="single" w:color="auto"/>
          <w:color w:val="auto"/>
        </w:rPr>
        <w:t>Absence of Labor Dispute</w:t>
      </w:r>
      <w:r>
        <w:rPr>
          <w:rFonts w:ascii="Times New Roman" w:cs="Times New Roman" w:eastAsia="Times New Roman" w:hAnsi="Times New Roman"/>
          <w:sz w:val="12"/>
          <w:szCs w:val="12"/>
          <w:color w:val="auto"/>
        </w:rPr>
        <w:t>. No labor dispute with the employees of the Company or its subsidiary exists or, to the knowledge of the Company, is imminent, and the Company is not aware of any existing or imminent labor disturbance by the employees of any of its or its subsidiary’s principal suppliers, manufacturers, customers or contractors, which, in either case, would reasonably be expected to result in a Material Adverse Effect.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68" w:name="page69"/>
    <w:bookmarkEnd w:id="68"/>
    <w:p>
      <w:pPr>
        <w:ind w:left="380" w:right="419" w:firstLine="330"/>
        <w:spacing w:after="0" w:line="24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(p)  </w:t>
      </w:r>
      <w:r>
        <w:rPr>
          <w:rFonts w:ascii="Times New Roman" w:cs="Times New Roman" w:eastAsia="Times New Roman" w:hAnsi="Times New Roman"/>
          <w:sz w:val="14"/>
          <w:szCs w:val="14"/>
          <w:u w:val="single" w:color="auto"/>
          <w:color w:val="auto"/>
        </w:rPr>
        <w:t>ERISA Compliance</w:t>
      </w:r>
      <w:r>
        <w:rPr>
          <w:rFonts w:ascii="Times New Roman" w:cs="Times New Roman" w:eastAsia="Times New Roman" w:hAnsi="Times New Roman"/>
          <w:sz w:val="14"/>
          <w:szCs w:val="14"/>
          <w:color w:val="auto"/>
        </w:rPr>
        <w:t>. Except as would not reasonably be expected to result in a Material Adverse Effect or as set forth in or contemplated by the Registration Statement, the General Disclosure Package and the Prospectus, (i) each, if any, “employee benefit plan” (within the meaning of Section 3(3) of the Employee Retirement Income Security Act of 1974, as amended (“</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would have any liability (each a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has been maintained in compliance with its terms and with the requirements of all applicable statutes, rules and regulations including ERISA and the Code; and (ii) each, if any, Plan maintained by the Company that is intended to be qualified under Section 401(a) of the Code has received a favorable determination letter or is comprised of a master prototype plan that has received an opinion letter from the Internal Revenue Service (or has submitted an application for a determination letter and is awaiting a response from the Internal Revenue Service), and, to the knowledge of the Company, no event has occurred and no condition exists that would result in the revocation or failure to issue any such determination letter or opinion letter. To the extent applicable, except as would not reasonably be expected to result in a Material Adverse Effect, with respect to each Plan subject to Title IV of ERISA (X) no “reportable event” (within the meaning of Section 4043(c) of ERISA, other than events with respect to which the 30-day notice requirement under Section 4043 of ERISA have been waived by the United States Department of Labor) has occurred or is reasonably expected to occur, (Y) no “accumulated funding deficiency” (within the meaning of Section 302 of ERISA or Section 412 of the Code), whether or not waived, has occurred or is reasonably expected to occur, and (Z) neither the Company or any member of its Controlled Group has incurred, or reasonably expects to incur, any liability under Title IV of ERISA (other than contributions to the Plan or premiums to the PBGC in the ordinary course and without default) in respect of a Plan (including a “multiemployer plan”, within the meaning of Section 4001(c)(3) of ERISA).</w:t>
      </w:r>
    </w:p>
    <w:p>
      <w:pPr>
        <w:spacing w:after="0" w:line="158" w:lineRule="exact"/>
        <w:rPr>
          <w:sz w:val="20"/>
          <w:szCs w:val="20"/>
          <w:color w:val="auto"/>
        </w:rPr>
      </w:pPr>
    </w:p>
    <w:p>
      <w:pPr>
        <w:ind w:left="380" w:right="399" w:firstLine="330"/>
        <w:spacing w:after="0" w:line="244" w:lineRule="auto"/>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u w:val="single" w:color="auto"/>
          <w:color w:val="auto"/>
        </w:rPr>
        <w:t>Absence of Proceedings</w:t>
      </w:r>
      <w:r>
        <w:rPr>
          <w:rFonts w:ascii="Times New Roman" w:cs="Times New Roman" w:eastAsia="Times New Roman" w:hAnsi="Times New Roman"/>
          <w:sz w:val="14"/>
          <w:szCs w:val="14"/>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its subsidiary,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its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150" w:lineRule="exact"/>
        <w:rPr>
          <w:sz w:val="20"/>
          <w:szCs w:val="20"/>
          <w:color w:val="auto"/>
        </w:rPr>
      </w:pPr>
    </w:p>
    <w:p>
      <w:pPr>
        <w:jc w:val="both"/>
        <w:ind w:left="380" w:right="499" w:firstLine="330"/>
        <w:spacing w:after="0" w:line="251" w:lineRule="auto"/>
        <w:rPr>
          <w:sz w:val="20"/>
          <w:szCs w:val="20"/>
          <w:color w:val="auto"/>
        </w:rPr>
      </w:pPr>
      <w:r>
        <w:rPr>
          <w:rFonts w:ascii="Times New Roman" w:cs="Times New Roman" w:eastAsia="Times New Roman" w:hAnsi="Times New Roman"/>
          <w:sz w:val="14"/>
          <w:szCs w:val="14"/>
          <w:color w:val="auto"/>
        </w:rPr>
        <w:t xml:space="preserve">(r)  </w:t>
      </w:r>
      <w:r>
        <w:rPr>
          <w:rFonts w:ascii="Times New Roman" w:cs="Times New Roman" w:eastAsia="Times New Roman" w:hAnsi="Times New Roman"/>
          <w:sz w:val="14"/>
          <w:szCs w:val="14"/>
          <w:u w:val="single" w:color="auto"/>
          <w:color w:val="auto"/>
        </w:rPr>
        <w:t>Accuracy of Exhibits</w:t>
      </w:r>
      <w:r>
        <w:rPr>
          <w:rFonts w:ascii="Times New Roman" w:cs="Times New Roman" w:eastAsia="Times New Roman" w:hAnsi="Times New Roman"/>
          <w:sz w:val="14"/>
          <w:szCs w:val="14"/>
          <w:color w:val="auto"/>
        </w:rPr>
        <w:t>. There are no contracts or documents which are required under the 1933 Act or 1933 Act Regulations to be described in the Registration Statement, the General Disclosure Package or the Prospectus or to be filed as exhibits to the Registration Statement which have not been so described and filed as required.</w:t>
      </w:r>
    </w:p>
    <w:p>
      <w:pPr>
        <w:spacing w:after="0" w:line="143" w:lineRule="exact"/>
        <w:rPr>
          <w:sz w:val="20"/>
          <w:szCs w:val="20"/>
          <w:color w:val="auto"/>
        </w:rPr>
      </w:pPr>
    </w:p>
    <w:p>
      <w:pPr>
        <w:ind w:left="380" w:right="459" w:firstLine="330"/>
        <w:spacing w:after="0" w:line="246" w:lineRule="auto"/>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u w:val="single" w:color="auto"/>
          <w:color w:val="auto"/>
        </w:rPr>
        <w:t>Absence of Further Requirements</w:t>
      </w:r>
      <w:r>
        <w:rPr>
          <w:rFonts w:ascii="Times New Roman" w:cs="Times New Roman" w:eastAsia="Times New Roman" w:hAnsi="Times New Roman"/>
          <w:sz w:val="14"/>
          <w:szCs w:val="14"/>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Shares hereunder or the consummation of the transactions contemplated by this Agreement, except such as have been already obtained or as may be required under the 1933 Act, the 1933 Act Regulations, the rules of the Nasdaq Global Select Market, state securities laws or the rules of the Financial Industry Regulatory Authority, Inc. (“</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380" w:right="599" w:firstLine="330"/>
        <w:spacing w:after="0" w:line="244" w:lineRule="auto"/>
        <w:rPr>
          <w:sz w:val="20"/>
          <w:szCs w:val="20"/>
          <w:color w:val="auto"/>
        </w:rPr>
      </w:pPr>
      <w:r>
        <w:rPr>
          <w:rFonts w:ascii="Times New Roman" w:cs="Times New Roman" w:eastAsia="Times New Roman" w:hAnsi="Times New Roman"/>
          <w:sz w:val="14"/>
          <w:szCs w:val="14"/>
          <w:color w:val="auto"/>
        </w:rPr>
        <w:t xml:space="preserve">(t)  </w:t>
      </w:r>
      <w:r>
        <w:rPr>
          <w:rFonts w:ascii="Times New Roman" w:cs="Times New Roman" w:eastAsia="Times New Roman" w:hAnsi="Times New Roman"/>
          <w:sz w:val="14"/>
          <w:szCs w:val="14"/>
          <w:u w:val="single" w:color="auto"/>
          <w:color w:val="auto"/>
        </w:rPr>
        <w:t>Possession of Licenses and Permits</w:t>
      </w:r>
      <w:r>
        <w:rPr>
          <w:rFonts w:ascii="Times New Roman" w:cs="Times New Roman" w:eastAsia="Times New Roman" w:hAnsi="Times New Roman"/>
          <w:sz w:val="14"/>
          <w:szCs w:val="14"/>
          <w:color w:val="auto"/>
        </w:rPr>
        <w:t>. The Company and its subsidiary possess such permits, licenses, clearances, approvals, registrations, exemptions, consents and other authorizations (collectively, “</w:t>
      </w:r>
      <w:r>
        <w:rPr>
          <w:rFonts w:ascii="Times New Roman" w:cs="Times New Roman" w:eastAsia="Times New Roman" w:hAnsi="Times New Roman"/>
          <w:sz w:val="14"/>
          <w:szCs w:val="14"/>
          <w:u w:val="single" w:color="auto"/>
          <w:color w:val="auto"/>
        </w:rPr>
        <w:t>Governmental Licenses</w:t>
      </w:r>
      <w:r>
        <w:rPr>
          <w:rFonts w:ascii="Times New Roman" w:cs="Times New Roman" w:eastAsia="Times New Roman" w:hAnsi="Times New Roman"/>
          <w:sz w:val="14"/>
          <w:szCs w:val="14"/>
          <w:color w:val="auto"/>
        </w:rPr>
        <w:t>”) issued by the appropriate Governmental Entities necessary to conduct the business now operated by them, except where the failure so to possess would not, singly or in the aggregate, reasonably be expected to result in a Material Adverse Effect. The Company and its subsidiary are in compliance with the terms and conditions of all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69" w:name="page70"/>
    <w:bookmarkEnd w:id="69"/>
    <w:p>
      <w:pPr>
        <w:ind w:left="380" w:right="559"/>
        <w:spacing w:after="0" w:line="31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force and effect would not, singly or in the aggregate, reasonably be expected to result in a Material Adverse Effect. Neither the Company nor its subsidiary has received any written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108" w:lineRule="exact"/>
        <w:rPr>
          <w:sz w:val="20"/>
          <w:szCs w:val="20"/>
          <w:color w:val="auto"/>
        </w:rPr>
      </w:pPr>
    </w:p>
    <w:p>
      <w:pPr>
        <w:ind w:left="380" w:right="399" w:firstLine="330"/>
        <w:spacing w:after="0" w:line="290" w:lineRule="auto"/>
        <w:rPr>
          <w:sz w:val="20"/>
          <w:szCs w:val="20"/>
          <w:color w:val="auto"/>
        </w:rPr>
      </w:pPr>
      <w:r>
        <w:rPr>
          <w:rFonts w:ascii="Times New Roman" w:cs="Times New Roman" w:eastAsia="Times New Roman" w:hAnsi="Times New Roman"/>
          <w:sz w:val="12"/>
          <w:szCs w:val="12"/>
          <w:color w:val="auto"/>
        </w:rPr>
        <w:t xml:space="preserve">(u)  </w:t>
      </w:r>
      <w:r>
        <w:rPr>
          <w:rFonts w:ascii="Times New Roman" w:cs="Times New Roman" w:eastAsia="Times New Roman" w:hAnsi="Times New Roman"/>
          <w:sz w:val="12"/>
          <w:szCs w:val="12"/>
          <w:u w:val="single" w:color="auto"/>
          <w:color w:val="auto"/>
        </w:rPr>
        <w:t>Title to Property</w:t>
      </w:r>
      <w:r>
        <w:rPr>
          <w:rFonts w:ascii="Times New Roman" w:cs="Times New Roman" w:eastAsia="Times New Roman" w:hAnsi="Times New Roman"/>
          <w:sz w:val="12"/>
          <w:szCs w:val="12"/>
          <w:color w:val="auto"/>
        </w:rPr>
        <w:t>. The Company and its subsidiary have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the General Disclosure Package and the Prospectus or (ii) do not, singly or in the aggregate, materially and adversely affect the value of such property and do not materially interfere with the use made and proposed to be made of such property by the Company or its subsidiary; and all of the leases and subleases material to the business of the Company and its subsidiary, considered as one enterprise, and under which the Company or its subsidiary holds properties described in the Registration Statement, the General Disclosure Package or the Prospectus, are in full force and effect, and neither the Company nor its subsidiary has any notice of any material claim of any sort that has been asserted by anyone adverse to the rights of the Company or its subsidiary under any of the leases or subleases mentioned above, or affecting or questioning the rights of the Company or its subsidiary to the continued possession of the leased or subleased premises under any such lease or sublease.</w:t>
      </w:r>
    </w:p>
    <w:p>
      <w:pPr>
        <w:spacing w:after="0" w:line="287" w:lineRule="exact"/>
        <w:rPr>
          <w:sz w:val="20"/>
          <w:szCs w:val="20"/>
          <w:color w:val="auto"/>
        </w:rPr>
      </w:pPr>
    </w:p>
    <w:p>
      <w:pPr>
        <w:ind w:left="380" w:right="399" w:firstLine="330"/>
        <w:spacing w:after="0" w:line="284" w:lineRule="auto"/>
        <w:rPr>
          <w:sz w:val="20"/>
          <w:szCs w:val="20"/>
          <w:color w:val="auto"/>
        </w:rPr>
      </w:pPr>
      <w:r>
        <w:rPr>
          <w:rFonts w:ascii="Times New Roman" w:cs="Times New Roman" w:eastAsia="Times New Roman" w:hAnsi="Times New Roman"/>
          <w:sz w:val="12"/>
          <w:szCs w:val="12"/>
          <w:color w:val="auto"/>
        </w:rPr>
        <w:t xml:space="preserve">(v)  </w:t>
      </w:r>
      <w:r>
        <w:rPr>
          <w:rFonts w:ascii="Times New Roman" w:cs="Times New Roman" w:eastAsia="Times New Roman" w:hAnsi="Times New Roman"/>
          <w:sz w:val="12"/>
          <w:szCs w:val="12"/>
          <w:u w:val="single" w:color="auto"/>
          <w:color w:val="auto"/>
        </w:rPr>
        <w:t>Possession of Intellectual Property</w:t>
      </w:r>
      <w:r>
        <w:rPr>
          <w:rFonts w:ascii="Times New Roman" w:cs="Times New Roman" w:eastAsia="Times New Roman" w:hAnsi="Times New Roman"/>
          <w:sz w:val="12"/>
          <w:szCs w:val="12"/>
          <w:color w:val="auto"/>
        </w:rPr>
        <w:t>. Except as disclosed in the Disclosure Documents (as defined below), the Company and its subsidiaries own or possess, or can acquire on reasonable terms, valid and enforceable rights to use all patents, statutory invention rights,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source code,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and/or other intellectual property (collectively,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necessary to carry on the business now operated and as proposed to be conducted as described in the Registration Statement, the General Disclosure Package and the Prospectus (collectively, the “</w:t>
      </w:r>
      <w:r>
        <w:rPr>
          <w:rFonts w:ascii="Times New Roman" w:cs="Times New Roman" w:eastAsia="Times New Roman" w:hAnsi="Times New Roman"/>
          <w:sz w:val="12"/>
          <w:szCs w:val="12"/>
          <w:u w:val="single" w:color="auto"/>
          <w:color w:val="auto"/>
        </w:rPr>
        <w:t>Disclosure Documents</w:t>
      </w:r>
      <w:r>
        <w:rPr>
          <w:rFonts w:ascii="Times New Roman" w:cs="Times New Roman" w:eastAsia="Times New Roman" w:hAnsi="Times New Roman"/>
          <w:sz w:val="12"/>
          <w:szCs w:val="12"/>
          <w:color w:val="auto"/>
        </w:rPr>
        <w:t>”) by them, provided that the foregoing should not be construed as a representation of non-infringement of the Intellectual Property of third parties. To the Company’s knowledge, except as disclosed in the Disclosure Documents, the Company (i) is not infringing, misappropriating, diluting or otherwise violating, and has not infringed, misappropriated, diluted or otherwise violated, any Intellectual Property rights of third parties; and (ii) has not received any notice or is otherwise aware of any facts which would form a reasonable basis for any claim or assertion that the Company, currently, or in the future upon the manufacturing or commercialization of any product or service described in the Disclosure Documents as under development, infringes, misappropriates, dilutes or otherwise violates any Intellectual Property rights of others. To the Company’s knowledge, there is no pending or threatened action, suit, proceeding or claim by others: (X) challenging the Company’s rights in or to any Intellectual Property owned or exclusively licensed by the Company or any of its subsidiaries (the “</w:t>
      </w:r>
      <w:r>
        <w:rPr>
          <w:rFonts w:ascii="Times New Roman" w:cs="Times New Roman" w:eastAsia="Times New Roman" w:hAnsi="Times New Roman"/>
          <w:sz w:val="12"/>
          <w:szCs w:val="12"/>
          <w:u w:val="single" w:color="auto"/>
          <w:color w:val="auto"/>
        </w:rPr>
        <w:t>Company Intellectual Property</w:t>
      </w:r>
      <w:r>
        <w:rPr>
          <w:rFonts w:ascii="Times New Roman" w:cs="Times New Roman" w:eastAsia="Times New Roman" w:hAnsi="Times New Roman"/>
          <w:sz w:val="12"/>
          <w:szCs w:val="12"/>
          <w:color w:val="auto"/>
        </w:rPr>
        <w:t>”); or (Y) challenging the validity, enforceability or scope of any Company Intellectual Property. As to both (X) and (Y), the Company is unaware of any facts which would form a reasonable basis for any such action, suit, proceeding or claim. The Company Intellectual Property has been duly maintained and, to the Company’s knowledge, is valid, subsisting and enforceable and free of material defects in connection with the filing and prosecution thereof. Except as disclosed in the Disclosure Documents: (A) the Company is the sole owner of the Company Intellectual Property owned by it and has the valid and enforceable right to use such Intellectual Property and without a duty of accounting to co-owner, as applicable; and (B) no government funding, facilities or resources of a university, college, other educational institution or research center was used in the development of any Intellectual Property that is owned or purported to be owned by the Company that would confer any governmental agency or body, university, college, other educational institution or research center any claim or right of ownership to any such Intellectual Property. Except as disclosed in the Disclosure Documents, the Company is not obligated to pay a material royalty, grant a license or option, or provide other material consideration to any third party in connection with the Company Intellectual Property. The Company Intellectual Property has not been adjudged by a court of competent jurisdiction to be invalid or unenforceable, in whole or in part, and the Company and its subsidiaries are unaware of any facts which would form a reasonable basis for any such adjudication. To the Company’s knowledge: (A) there are no third parties who have rights to any Company Intellectual Property, except for customary reversionary rights of third-party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70" w:name="page71"/>
    <w:bookmarkEnd w:id="70"/>
    <w:p>
      <w:pPr>
        <w:ind w:left="380" w:right="559"/>
        <w:spacing w:after="0" w:line="28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licensors with respect to Company Intellectual Property that is disclosed in the Disclosure Documents as exclusively licensed to the Company or its subsidiaries; and (B) there is no infringement, misappropriation, dilution, or other violation by third parties of any Company Intellectual Property. The Company and its subsidiaries have complied with the terms of each agreement pursuant to which Company Intellectual Property has been licensed to the Company or its subsidiaries, and all such agreements are in full force and effect. The Company is taking all reasonable steps necessary to secure assignments to its title, rights and interests in and to the Company Intellectual Property owned by the Company from all employees, consultants, agents and contractors engaged in the development of the Intellectual Property on behalf of the Company, including requiring all such employees, consultants, agents and contractors to execute appropriate invention assignment agreements to assign all of their right, title and interest in and to such Intellectual Property to the Company. To the Company’s knowledge, no such agreement has been breached or violated. The Company and its subsidiaries have taken all reasonable and customary steps to protect, maintain and safeguard the Company Intellectual Property, including by implementation of physical and cyber security measures and the execution of appropriate employment contracts, patent disclosure</w:t>
      </w:r>
    </w:p>
    <w:p>
      <w:pPr>
        <w:spacing w:after="0" w:line="138" w:lineRule="exact"/>
        <w:rPr>
          <w:sz w:val="20"/>
          <w:szCs w:val="20"/>
          <w:color w:val="auto"/>
        </w:rPr>
      </w:pPr>
    </w:p>
    <w:p>
      <w:pPr>
        <w:ind w:left="380" w:right="539"/>
        <w:spacing w:after="0" w:line="286" w:lineRule="auto"/>
        <w:rPr>
          <w:sz w:val="20"/>
          <w:szCs w:val="20"/>
          <w:color w:val="auto"/>
        </w:rPr>
      </w:pPr>
      <w:r>
        <w:rPr>
          <w:rFonts w:ascii="Times New Roman" w:cs="Times New Roman" w:eastAsia="Times New Roman" w:hAnsi="Times New Roman"/>
          <w:sz w:val="12"/>
          <w:szCs w:val="12"/>
          <w:color w:val="auto"/>
        </w:rPr>
        <w:t>agreements, non-competition agreements, non-solicitation agreements, nondisclosure agreements, and confidentiality agreements with their employees, and no employee of the Company or its subsidiaries is in or has been in violation of any term of, such agreements or any restrictive covenant to or with a former employer where the basis of such violation relates to such employee’s employment with the Company or its subsidiaries. All patents and patent applications owned by the Company or its subsidiaries have been duly and properly filed and each issued patent is being diligently maintained and is valid and enforceable. To the Company’s knowledge, there are no facts that would preclude the issuance of a valid and enforceable patent on any pending patent applications included in the Intellectual Property of the Company. To the Company’s knowledge, the Company and the parties prosecuting such applications have complied or are in the process of complying with their duty of candor and disclosure to the U.S. Patent and Trademark Office (the “</w:t>
      </w:r>
      <w:r>
        <w:rPr>
          <w:rFonts w:ascii="Times New Roman" w:cs="Times New Roman" w:eastAsia="Times New Roman" w:hAnsi="Times New Roman"/>
          <w:sz w:val="12"/>
          <w:szCs w:val="12"/>
          <w:u w:val="single" w:color="auto"/>
          <w:color w:val="auto"/>
        </w:rPr>
        <w:t>USPTO</w:t>
      </w:r>
      <w:r>
        <w:rPr>
          <w:rFonts w:ascii="Times New Roman" w:cs="Times New Roman" w:eastAsia="Times New Roman" w:hAnsi="Times New Roman"/>
          <w:sz w:val="12"/>
          <w:szCs w:val="12"/>
          <w:color w:val="auto"/>
        </w:rPr>
        <w:t>”), and all such requirements in the relevant foreign patent authority having similar requirements as the case may be, in connection with such patents and patent applications for which it has filing, prosecution and/or maintenance responsibilities. To the Company’s knowledge: (1) there is no patent or patent application that contains claims that dominate or may dominate (as such term is described in 35 U.S.C. §135 and 37 C.F.R. 41.100 to 41.208) with the issued or pending claims of any of the Intellectual Property of the Company;</w:t>
      </w:r>
    </w:p>
    <w:p>
      <w:pPr>
        <w:spacing w:after="0" w:line="139" w:lineRule="exact"/>
        <w:rPr>
          <w:sz w:val="20"/>
          <w:szCs w:val="20"/>
          <w:color w:val="auto"/>
        </w:rPr>
      </w:pPr>
    </w:p>
    <w:p>
      <w:pPr>
        <w:ind w:left="380" w:right="639" w:hanging="9"/>
        <w:spacing w:after="0" w:line="241" w:lineRule="auto"/>
        <w:tabs>
          <w:tab w:leader="none" w:pos="571"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prior art material to any patent of the Intellectual Property of the Company that may render any U.S. patent held by the Company invalid or unenforceable; and (3) there is no prior art or public or commercial activity or other facts required to be disclosed to the USPTO and any relevant foreign patent authority that were not (or are not in the process of being) disclosed and which would preclude the grant of a patent in connection with any such application or would reasonably be expected to form the basis of a finding of invalidity or unenforceability with respect to any patents that have been issued with respect to such applications. The Company expects the product candidates described in the Disclosure Documents as under development by the Company to fall within the scope of the claims of one or more patents or patent applications within the Company Intellectual Property, as described in the Disclosure Documents.</w:t>
      </w:r>
    </w:p>
    <w:p>
      <w:pPr>
        <w:spacing w:after="0" w:line="153" w:lineRule="exact"/>
        <w:rPr>
          <w:sz w:val="20"/>
          <w:szCs w:val="20"/>
          <w:color w:val="auto"/>
        </w:rPr>
      </w:pPr>
    </w:p>
    <w:p>
      <w:pPr>
        <w:ind w:left="380" w:right="399" w:firstLine="330"/>
        <w:spacing w:after="0" w:line="287" w:lineRule="auto"/>
        <w:rPr>
          <w:sz w:val="20"/>
          <w:szCs w:val="20"/>
          <w:color w:val="auto"/>
        </w:rPr>
      </w:pPr>
      <w:r>
        <w:rPr>
          <w:rFonts w:ascii="Times New Roman" w:cs="Times New Roman" w:eastAsia="Times New Roman" w:hAnsi="Times New Roman"/>
          <w:sz w:val="12"/>
          <w:szCs w:val="12"/>
          <w:color w:val="auto"/>
        </w:rPr>
        <w:t xml:space="preserve">(w)  </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Except as described in the Registration Statement, the General Disclosure Package and the Prospectus or would not, singly or in the aggregate, reasonably be expected to result in a Material Adverse Effect, (i) neither the Company nor its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2"/>
          <w:szCs w:val="12"/>
          <w:u w:val="single" w:color="auto"/>
          <w:color w:val="auto"/>
        </w:rPr>
        <w:t>Hazardous Materials</w:t>
      </w:r>
      <w:r>
        <w:rPr>
          <w:rFonts w:ascii="Times New Roman" w:cs="Times New Roman" w:eastAsia="Times New Roman" w:hAnsi="Times New Roman"/>
          <w:sz w:val="12"/>
          <w:szCs w:val="12"/>
          <w:color w:val="auto"/>
        </w:rPr>
        <w:t>”) or to the manufacture, processing, distribution, use, treatment, storage, disposal, transport or handling of Hazardous Materials (collectively, “</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(ii) the Company and its subsidiary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investigations or proceedings relating to any Environmental Law against the Company or its subsidiary and (iv) to the Company’s knowledge, there are no events or circumstances that would reasonably be expected to form the basis of an order for clean-up or remediation, or an action, suit or proceeding by any private party or Governmental Entity, against or affecting the Company or its subsidiary relating to Hazardous Materials or any Environmental Laws.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71" w:name="page72"/>
    <w:bookmarkEnd w:id="71"/>
    <w:p>
      <w:pPr>
        <w:ind w:left="380" w:right="459" w:firstLine="330"/>
        <w:spacing w:after="0" w:line="24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(x)  </w:t>
      </w:r>
      <w:r>
        <w:rPr>
          <w:rFonts w:ascii="Times New Roman" w:cs="Times New Roman" w:eastAsia="Times New Roman" w:hAnsi="Times New Roman"/>
          <w:sz w:val="14"/>
          <w:szCs w:val="14"/>
          <w:u w:val="single" w:color="auto"/>
          <w:color w:val="auto"/>
        </w:rPr>
        <w:t>Accounting Controls.</w:t>
      </w:r>
      <w:r>
        <w:rPr>
          <w:rFonts w:ascii="Times New Roman" w:cs="Times New Roman" w:eastAsia="Times New Roman" w:hAnsi="Times New Roman"/>
          <w:sz w:val="14"/>
          <w:szCs w:val="14"/>
          <w:color w:val="auto"/>
        </w:rPr>
        <w:t xml:space="preserve"> The Company and its subsidiary maintain a system of effective internal controls over financial reporting (as defined under Rule 13-a15 and 15d-15 under the rules and regulations of the 1934 Act Regulations)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spacing w:after="0" w:line="153" w:lineRule="exact"/>
        <w:rPr>
          <w:sz w:val="20"/>
          <w:szCs w:val="20"/>
          <w:color w:val="auto"/>
        </w:rPr>
      </w:pPr>
    </w:p>
    <w:p>
      <w:pPr>
        <w:ind w:left="380" w:right="479" w:firstLine="330"/>
        <w:spacing w:after="0" w:line="246" w:lineRule="auto"/>
        <w:rPr>
          <w:sz w:val="20"/>
          <w:szCs w:val="20"/>
          <w:color w:val="auto"/>
        </w:rPr>
      </w:pP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Compliance with the Sarbanes-Oxley Act.</w:t>
      </w:r>
      <w:r>
        <w:rPr>
          <w:rFonts w:ascii="Times New Roman" w:cs="Times New Roman" w:eastAsia="Times New Roman" w:hAnsi="Times New Roman"/>
          <w:sz w:val="14"/>
          <w:szCs w:val="14"/>
          <w:color w:val="auto"/>
        </w:rPr>
        <w:t xml:space="preserve"> The Company is in compliance with all provisions of the Sarbanes-Oxley Act of 2002 and all rules and regulations promulgated thereunder or implementing the provisions thereof (the “</w:t>
      </w:r>
      <w:r>
        <w:rPr>
          <w:rFonts w:ascii="Times New Roman" w:cs="Times New Roman" w:eastAsia="Times New Roman" w:hAnsi="Times New Roman"/>
          <w:sz w:val="14"/>
          <w:szCs w:val="14"/>
          <w:u w:val="single" w:color="auto"/>
          <w:color w:val="auto"/>
        </w:rPr>
        <w:t>Sarbanes-Oxley Act</w:t>
      </w:r>
      <w:r>
        <w:rPr>
          <w:rFonts w:ascii="Times New Roman" w:cs="Times New Roman" w:eastAsia="Times New Roman" w:hAnsi="Times New Roman"/>
          <w:sz w:val="14"/>
          <w:szCs w:val="14"/>
          <w:color w:val="auto"/>
        </w:rPr>
        <w:t>”) that are then in effect and with which the Company is required to comply as of the effectiveness of the Registration Statement, and is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148" w:lineRule="exact"/>
        <w:rPr>
          <w:sz w:val="20"/>
          <w:szCs w:val="20"/>
          <w:color w:val="auto"/>
        </w:rPr>
      </w:pPr>
    </w:p>
    <w:p>
      <w:pPr>
        <w:ind w:left="380" w:right="419" w:firstLine="330"/>
        <w:spacing w:after="0" w:line="287" w:lineRule="auto"/>
        <w:rPr>
          <w:sz w:val="20"/>
          <w:szCs w:val="20"/>
          <w:color w:val="auto"/>
        </w:rPr>
      </w:pPr>
      <w:r>
        <w:rPr>
          <w:rFonts w:ascii="Times New Roman" w:cs="Times New Roman" w:eastAsia="Times New Roman" w:hAnsi="Times New Roman"/>
          <w:sz w:val="12"/>
          <w:szCs w:val="12"/>
          <w:color w:val="auto"/>
        </w:rPr>
        <w:t xml:space="preserve">(z)  </w:t>
      </w:r>
      <w:r>
        <w:rPr>
          <w:rFonts w:ascii="Times New Roman" w:cs="Times New Roman" w:eastAsia="Times New Roman" w:hAnsi="Times New Roman"/>
          <w:sz w:val="12"/>
          <w:szCs w:val="12"/>
          <w:u w:val="single" w:color="auto"/>
          <w:color w:val="auto"/>
        </w:rPr>
        <w:t>Payment of Taxes</w:t>
      </w:r>
      <w:r>
        <w:rPr>
          <w:rFonts w:ascii="Times New Roman" w:cs="Times New Roman" w:eastAsia="Times New Roman" w:hAnsi="Times New Roman"/>
          <w:sz w:val="12"/>
          <w:szCs w:val="12"/>
          <w:color w:val="auto"/>
        </w:rPr>
        <w:t>. All United States federal income and corporation tax returns and other material tax returns of the Company and its subsidiary required by law to be filed have been filed, all such returns are true and accurate and are not the subject of any material dispute nor are likely to become the subject of any material dispute with the relevant tax authorities. All taxes shown by such returns or otherwise assessed, which are due and payable, have been paid, except assessments that are being contested in good faith by appropriate proceedings and as to which adequate reserves have been provided in accordance with GAAP or to the extent any failure to file or pay such taxes or assessments would not reasonably be expected to result in a Material Adverse Effect. The United States federal income tax returns of the Company through the fiscal year ended December 31, 2024 have been filed and no assessment in connection therewith has been made against the Company. The Company and its subsidiary have filed all other tax returns that are required to have been filed by them pursuant to applicable foreign, state, local or other law except insofar as the failure to file such returns would not reasonably be expected to result in a Material Adverse Effect, and has paid all taxes due pursuant to such returns or pursuant to any assessment received by the Company and its subsidiary, except for such taxes, if any, as are being contested in good faith and as to which adequate reserves have been established by the Company in accordance with GAAP or where the failure to do so would not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or corporation tax for any years not finally determined, except to the extent of any inadequacy that would not reasonably be expected to result in a Material Adverse Effect.</w:t>
      </w:r>
    </w:p>
    <w:p>
      <w:pPr>
        <w:spacing w:after="0" w:line="286" w:lineRule="exact"/>
        <w:rPr>
          <w:sz w:val="20"/>
          <w:szCs w:val="20"/>
          <w:color w:val="auto"/>
        </w:rPr>
      </w:pPr>
    </w:p>
    <w:p>
      <w:pPr>
        <w:ind w:left="380" w:right="459" w:firstLine="330"/>
        <w:spacing w:after="0" w:line="246" w:lineRule="auto"/>
        <w:rPr>
          <w:sz w:val="20"/>
          <w:szCs w:val="20"/>
          <w:color w:val="auto"/>
        </w:rPr>
      </w:pPr>
      <w:r>
        <w:rPr>
          <w:rFonts w:ascii="Times New Roman" w:cs="Times New Roman" w:eastAsia="Times New Roman" w:hAnsi="Times New Roman"/>
          <w:sz w:val="14"/>
          <w:szCs w:val="14"/>
          <w:color w:val="auto"/>
        </w:rPr>
        <w:t xml:space="preserve">(aa)  </w:t>
      </w:r>
      <w:r>
        <w:rPr>
          <w:rFonts w:ascii="Times New Roman" w:cs="Times New Roman" w:eastAsia="Times New Roman" w:hAnsi="Times New Roman"/>
          <w:sz w:val="14"/>
          <w:szCs w:val="14"/>
          <w:u w:val="single" w:color="auto"/>
          <w:color w:val="auto"/>
        </w:rPr>
        <w:t>Tax Records and Disputes.</w:t>
      </w:r>
      <w:r>
        <w:rPr>
          <w:rFonts w:ascii="Times New Roman" w:cs="Times New Roman" w:eastAsia="Times New Roman" w:hAnsi="Times New Roman"/>
          <w:sz w:val="14"/>
          <w:szCs w:val="14"/>
          <w:color w:val="auto"/>
        </w:rPr>
        <w:t xml:space="preserve"> Each of the Company and its subsidiary has maintained all material records and information required to be maintained for tax purposes; all such records and information were and remain complete and accurate in all material respects. Neither the Company nor its subsidiary is involved in any material dispute or investigation with any tax authority, nor has any enquiry been raised by any tax authority in respect of the Company or its subsidiary which is likely to be material, and, so far as the Company is aware, there are no facts which are likely to cause any such material dispute or investigation, or to cause any tax authority to raise any enquiry which is likely to be material.</w:t>
      </w:r>
    </w:p>
    <w:p>
      <w:pPr>
        <w:spacing w:after="0" w:line="148" w:lineRule="exact"/>
        <w:rPr>
          <w:sz w:val="20"/>
          <w:szCs w:val="20"/>
          <w:color w:val="auto"/>
        </w:rPr>
      </w:pPr>
    </w:p>
    <w:p>
      <w:pPr>
        <w:ind w:left="380" w:right="379" w:firstLine="330"/>
        <w:spacing w:after="0" w:line="261" w:lineRule="auto"/>
        <w:rPr>
          <w:sz w:val="20"/>
          <w:szCs w:val="20"/>
          <w:color w:val="auto"/>
        </w:rPr>
      </w:pPr>
      <w:r>
        <w:rPr>
          <w:rFonts w:ascii="Times New Roman" w:cs="Times New Roman" w:eastAsia="Times New Roman" w:hAnsi="Times New Roman"/>
          <w:sz w:val="14"/>
          <w:szCs w:val="14"/>
          <w:color w:val="auto"/>
        </w:rPr>
        <w:t xml:space="preserve">(bb)  </w:t>
      </w:r>
      <w:r>
        <w:rPr>
          <w:rFonts w:ascii="Times New Roman" w:cs="Times New Roman" w:eastAsia="Times New Roman" w:hAnsi="Times New Roman"/>
          <w:sz w:val="14"/>
          <w:szCs w:val="14"/>
          <w:u w:val="single" w:color="auto"/>
          <w:color w:val="auto"/>
        </w:rPr>
        <w:t>UK Stamp Duty.</w:t>
      </w:r>
      <w:r>
        <w:rPr>
          <w:rFonts w:ascii="Times New Roman" w:cs="Times New Roman" w:eastAsia="Times New Roman" w:hAnsi="Times New Roman"/>
          <w:sz w:val="14"/>
          <w:szCs w:val="14"/>
          <w:color w:val="auto"/>
        </w:rPr>
        <w:t xml:space="preserve"> No U.K. transfer taxes, stamp duties or other similar taxes shall apply to the sale and delivery of the Shares to the Agent or to the resale of the Shares by the Agent as contemplated by this Agreement.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8" w:right="1440" w:bottom="1440" w:gutter="0" w:footer="0" w:header="0"/>
        </w:sectPr>
      </w:pPr>
    </w:p>
    <w:bookmarkStart w:id="72" w:name="page73"/>
    <w:bookmarkEnd w:id="72"/>
    <w:p>
      <w:pPr>
        <w:ind w:left="380" w:right="619" w:firstLine="330"/>
        <w:spacing w:after="0" w:line="34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(cc)  </w:t>
      </w:r>
      <w:r>
        <w:rPr>
          <w:rFonts w:ascii="Times New Roman" w:cs="Times New Roman" w:eastAsia="Times New Roman" w:hAnsi="Times New Roman"/>
          <w:sz w:val="12"/>
          <w:szCs w:val="12"/>
          <w:u w:val="single" w:color="auto"/>
          <w:color w:val="auto"/>
        </w:rPr>
        <w:t>Tax Residence.</w:t>
      </w:r>
      <w:r>
        <w:rPr>
          <w:rFonts w:ascii="Times New Roman" w:cs="Times New Roman" w:eastAsia="Times New Roman" w:hAnsi="Times New Roman"/>
          <w:sz w:val="12"/>
          <w:szCs w:val="12"/>
          <w:color w:val="auto"/>
        </w:rPr>
        <w:t xml:space="preserve"> Each of the Company and its subsidiary is and has at all times been resident for tax purposes solely in its place of incorporation and is not and has not been treated as either resident or having a permanent establishment in any other jurisdiction for any tax purpose.</w:t>
      </w:r>
    </w:p>
    <w:p>
      <w:pPr>
        <w:spacing w:after="0" w:line="90" w:lineRule="exact"/>
        <w:rPr>
          <w:sz w:val="20"/>
          <w:szCs w:val="20"/>
          <w:color w:val="auto"/>
        </w:rPr>
      </w:pPr>
    </w:p>
    <w:p>
      <w:pPr>
        <w:ind w:left="380" w:right="579" w:firstLine="330"/>
        <w:spacing w:after="0" w:line="261" w:lineRule="auto"/>
        <w:rPr>
          <w:sz w:val="20"/>
          <w:szCs w:val="20"/>
          <w:color w:val="auto"/>
        </w:rPr>
      </w:pPr>
      <w:r>
        <w:rPr>
          <w:rFonts w:ascii="Times New Roman" w:cs="Times New Roman" w:eastAsia="Times New Roman" w:hAnsi="Times New Roman"/>
          <w:sz w:val="14"/>
          <w:szCs w:val="14"/>
          <w:color w:val="auto"/>
        </w:rPr>
        <w:t xml:space="preserve">(dd)  </w:t>
      </w:r>
      <w:r>
        <w:rPr>
          <w:rFonts w:ascii="Times New Roman" w:cs="Times New Roman" w:eastAsia="Times New Roman" w:hAnsi="Times New Roman"/>
          <w:sz w:val="14"/>
          <w:szCs w:val="14"/>
          <w:u w:val="single" w:color="auto"/>
          <w:color w:val="auto"/>
        </w:rPr>
        <w:t>Arm’s Length Transactions.</w:t>
      </w:r>
      <w:r>
        <w:rPr>
          <w:rFonts w:ascii="Times New Roman" w:cs="Times New Roman" w:eastAsia="Times New Roman" w:hAnsi="Times New Roman"/>
          <w:sz w:val="14"/>
          <w:szCs w:val="14"/>
          <w:color w:val="auto"/>
        </w:rPr>
        <w:t xml:space="preserve"> All transactions between the Company and its subsidiary, or between the Company or its subsidiary and any third party, have been and are on fully arm’s length terms.</w:t>
      </w:r>
    </w:p>
    <w:p>
      <w:pPr>
        <w:spacing w:after="0" w:line="136" w:lineRule="exact"/>
        <w:rPr>
          <w:sz w:val="20"/>
          <w:szCs w:val="20"/>
          <w:color w:val="auto"/>
        </w:rPr>
      </w:pPr>
    </w:p>
    <w:p>
      <w:pPr>
        <w:ind w:left="380" w:right="419" w:firstLine="330"/>
        <w:spacing w:after="0" w:line="246" w:lineRule="auto"/>
        <w:rPr>
          <w:sz w:val="20"/>
          <w:szCs w:val="20"/>
          <w:color w:val="auto"/>
        </w:rPr>
      </w:pPr>
      <w:r>
        <w:rPr>
          <w:rFonts w:ascii="Times New Roman" w:cs="Times New Roman" w:eastAsia="Times New Roman" w:hAnsi="Times New Roman"/>
          <w:sz w:val="14"/>
          <w:szCs w:val="14"/>
          <w:color w:val="auto"/>
        </w:rPr>
        <w:t xml:space="preserve">(ee)  </w:t>
      </w:r>
      <w:r>
        <w:rPr>
          <w:rFonts w:ascii="Times New Roman" w:cs="Times New Roman" w:eastAsia="Times New Roman" w:hAnsi="Times New Roman"/>
          <w:sz w:val="14"/>
          <w:szCs w:val="14"/>
          <w:u w:val="single" w:color="auto"/>
          <w:color w:val="auto"/>
        </w:rPr>
        <w:t>Anti-Tax Evasion Laws.</w:t>
      </w:r>
      <w:r>
        <w:rPr>
          <w:rFonts w:ascii="Times New Roman" w:cs="Times New Roman" w:eastAsia="Times New Roman" w:hAnsi="Times New Roman"/>
          <w:sz w:val="14"/>
          <w:szCs w:val="14"/>
          <w:color w:val="auto"/>
        </w:rPr>
        <w:t xml:space="preserve"> Neither the Company nor its subsidiary nor any of its Associated Persons has done anything or omitted to do anything which has caused the Company or its subsidiary to commit an offence under any Anti-Tax Evasion Laws. As used herein, “Associated Person” means, with respect to an entity, any person that is an employee of the entity who is acting in the capacity of an employee, any agent of the entity who is acting in the capacity of an agent or any other person who performs services for or on behalf of the entity who is acting in the capacity of a person performing such services.</w:t>
      </w:r>
    </w:p>
    <w:p>
      <w:pPr>
        <w:spacing w:after="0" w:line="148" w:lineRule="exact"/>
        <w:rPr>
          <w:sz w:val="20"/>
          <w:szCs w:val="20"/>
          <w:color w:val="auto"/>
        </w:rPr>
      </w:pPr>
    </w:p>
    <w:p>
      <w:pPr>
        <w:ind w:left="380" w:right="399" w:firstLine="330"/>
        <w:spacing w:after="0" w:line="245" w:lineRule="auto"/>
        <w:rPr>
          <w:sz w:val="20"/>
          <w:szCs w:val="20"/>
          <w:color w:val="auto"/>
        </w:rPr>
      </w:pPr>
      <w:r>
        <w:rPr>
          <w:rFonts w:ascii="Times New Roman" w:cs="Times New Roman" w:eastAsia="Times New Roman" w:hAnsi="Times New Roman"/>
          <w:sz w:val="14"/>
          <w:szCs w:val="14"/>
          <w:color w:val="auto"/>
        </w:rPr>
        <w:t xml:space="preserve">(ff)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Company and its subsidiary carry or are entitled to the benefits of insurance, with financially sound and reputable insurers, in such amounts and covering such risks as the Company believes is generally maintained by companies of established repute engaged in the same or similar business, and all such insurance is in full force and effect. The Company has no reason to believe that it or its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 Neither of the Company nor its subsidiary has been denied any insurance coverage which it has sought or for which it has applied.</w:t>
      </w:r>
    </w:p>
    <w:p>
      <w:pPr>
        <w:spacing w:after="0" w:line="149" w:lineRule="exact"/>
        <w:rPr>
          <w:sz w:val="20"/>
          <w:szCs w:val="20"/>
          <w:color w:val="auto"/>
        </w:rPr>
      </w:pPr>
    </w:p>
    <w:p>
      <w:pPr>
        <w:jc w:val="both"/>
        <w:ind w:left="380" w:right="679" w:firstLine="330"/>
        <w:spacing w:after="0" w:line="251" w:lineRule="auto"/>
        <w:rPr>
          <w:sz w:val="20"/>
          <w:szCs w:val="20"/>
          <w:color w:val="auto"/>
        </w:rPr>
      </w:pPr>
      <w:r>
        <w:rPr>
          <w:rFonts w:ascii="Times New Roman" w:cs="Times New Roman" w:eastAsia="Times New Roman" w:hAnsi="Times New Roman"/>
          <w:sz w:val="14"/>
          <w:szCs w:val="14"/>
          <w:color w:val="auto"/>
        </w:rPr>
        <w:t xml:space="preserve">(gg)  </w:t>
      </w:r>
      <w:r>
        <w:rPr>
          <w:rFonts w:ascii="Times New Roman" w:cs="Times New Roman" w:eastAsia="Times New Roman" w:hAnsi="Times New Roman"/>
          <w:sz w:val="14"/>
          <w:szCs w:val="14"/>
          <w:u w:val="single" w:color="auto"/>
          <w:color w:val="auto"/>
        </w:rPr>
        <w:t>Investment Company Act</w:t>
      </w:r>
      <w:r>
        <w:rPr>
          <w:rFonts w:ascii="Times New Roman" w:cs="Times New Roman" w:eastAsia="Times New Roman" w:hAnsi="Times New Roman"/>
          <w:sz w:val="14"/>
          <w:szCs w:val="14"/>
          <w:color w:val="auto"/>
        </w:rPr>
        <w:t>. The Company is not required, and upon the issuance and sale of the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4"/>
          <w:szCs w:val="14"/>
          <w:u w:val="single" w:color="auto"/>
          <w:color w:val="auto"/>
        </w:rPr>
        <w:t>1940 Act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380" w:right="399" w:firstLine="330"/>
        <w:spacing w:after="0" w:line="248" w:lineRule="auto"/>
        <w:rPr>
          <w:sz w:val="20"/>
          <w:szCs w:val="20"/>
          <w:color w:val="auto"/>
        </w:rPr>
      </w:pPr>
      <w:r>
        <w:rPr>
          <w:rFonts w:ascii="Times New Roman" w:cs="Times New Roman" w:eastAsia="Times New Roman" w:hAnsi="Times New Roman"/>
          <w:sz w:val="14"/>
          <w:szCs w:val="14"/>
          <w:color w:val="auto"/>
        </w:rPr>
        <w:t xml:space="preserve">(hh)  </w:t>
      </w:r>
      <w:r>
        <w:rPr>
          <w:rFonts w:ascii="Times New Roman" w:cs="Times New Roman" w:eastAsia="Times New Roman" w:hAnsi="Times New Roman"/>
          <w:sz w:val="14"/>
          <w:szCs w:val="14"/>
          <w:u w:val="single" w:color="auto"/>
          <w:color w:val="auto"/>
        </w:rPr>
        <w:t>Absence of Manipulation</w:t>
      </w:r>
      <w:r>
        <w:rPr>
          <w:rFonts w:ascii="Times New Roman" w:cs="Times New Roman" w:eastAsia="Times New Roman" w:hAnsi="Times New Roman"/>
          <w:sz w:val="14"/>
          <w:szCs w:val="14"/>
          <w:color w:val="auto"/>
        </w:rPr>
        <w:t>. Neither the Company nor, to the knowledge of the Company, any affiliate of the Company has taken, nor will the Company or any affiliate of the Company take, directly or indirectly, any action which is designed, or would reasonably be expected, to cause or result in, or which constitutes, the stabilization or manipulation of the price of any security of the Company to facilitate the sale or resale of the Shares or to result in a violation of Regulation M under the 1934 Act.</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 xml:space="preserve">(ii)   </w:t>
      </w:r>
      <w:r>
        <w:rPr>
          <w:rFonts w:ascii="Times New Roman" w:cs="Times New Roman" w:eastAsia="Times New Roman" w:hAnsi="Times New Roman"/>
          <w:sz w:val="14"/>
          <w:szCs w:val="14"/>
          <w:u w:val="single" w:color="auto"/>
          <w:color w:val="auto"/>
        </w:rPr>
        <w:t>Foreign Corrupt Practices Act</w:t>
      </w:r>
      <w:r>
        <w:rPr>
          <w:rFonts w:ascii="Times New Roman" w:cs="Times New Roman" w:eastAsia="Times New Roman" w:hAnsi="Times New Roman"/>
          <w:sz w:val="14"/>
          <w:szCs w:val="14"/>
          <w:color w:val="auto"/>
        </w:rPr>
        <w:t>. None of the Company, its subsidiary or, to the knowledge of the Company, any director, officer, agent,</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affiliate or other person acting on behalf of the Company or its subsidiary is aware of or has taken any action, directly or indirectly, that</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would result in a violation by such persons of the Foreign Corrupt Practices Act of 1977, as amended, and the rules and regulations thereunder (the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including, without limitation, making use of the mails or any means or instrumentality of interstate commerce corruptly in furtherance of an</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offer, payment, promise to pay or authorization of the payment of any money, or other property, gift, promise to give, or authorization of the giving of</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anything of value to any “foreign official” (as such term is defined in the FCPA) or any foreign political party or official thereof or any candidate for</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foreign political office, in contravention of the FCPA and the Company and, to the knowledge of the Company, its affiliates have conducted their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businesses in compliance with the FCPA and have instituted and maintain policies and procedures designed to ensure, and which are reasonably</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expected to continue to ensure, continued compliance therewith.</w:t>
      </w:r>
    </w:p>
    <w:p>
      <w:pPr>
        <w:spacing w:after="0" w:line="151" w:lineRule="exact"/>
        <w:rPr>
          <w:sz w:val="20"/>
          <w:szCs w:val="20"/>
          <w:color w:val="auto"/>
        </w:rPr>
      </w:pPr>
    </w:p>
    <w:p>
      <w:pPr>
        <w:ind w:left="380" w:right="419" w:firstLine="330"/>
        <w:spacing w:after="0" w:line="245" w:lineRule="auto"/>
        <w:rPr>
          <w:sz w:val="20"/>
          <w:szCs w:val="20"/>
          <w:color w:val="auto"/>
        </w:rPr>
      </w:pPr>
      <w:r>
        <w:rPr>
          <w:rFonts w:ascii="Times New Roman" w:cs="Times New Roman" w:eastAsia="Times New Roman" w:hAnsi="Times New Roman"/>
          <w:sz w:val="14"/>
          <w:szCs w:val="14"/>
          <w:color w:val="auto"/>
        </w:rPr>
        <w:t xml:space="preserve">(jj)  </w:t>
      </w:r>
      <w:r>
        <w:rPr>
          <w:rFonts w:ascii="Times New Roman" w:cs="Times New Roman" w:eastAsia="Times New Roman" w:hAnsi="Times New Roman"/>
          <w:sz w:val="14"/>
          <w:szCs w:val="14"/>
          <w:u w:val="single" w:color="auto"/>
          <w:color w:val="auto"/>
        </w:rPr>
        <w:t>Money Laundering Laws</w:t>
      </w:r>
      <w:r>
        <w:rPr>
          <w:rFonts w:ascii="Times New Roman" w:cs="Times New Roman" w:eastAsia="Times New Roman" w:hAnsi="Times New Roman"/>
          <w:sz w:val="14"/>
          <w:szCs w:val="14"/>
          <w:color w:val="auto"/>
        </w:rPr>
        <w:t>. The operations of the Company and its subsidiary are and have been conducted at all times in compliance with applicable financial recordkeeping and reporting requirements of the Currency and Foreign Transactions Reporting Act of 1970, as amended, the money laundering statutes of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4"/>
          <w:szCs w:val="14"/>
          <w:u w:val="single" w:color="auto"/>
          <w:color w:val="auto"/>
        </w:rPr>
        <w:t>Money Laundering Laws</w:t>
      </w:r>
      <w:r>
        <w:rPr>
          <w:rFonts w:ascii="Times New Roman" w:cs="Times New Roman" w:eastAsia="Times New Roman" w:hAnsi="Times New Roman"/>
          <w:sz w:val="14"/>
          <w:szCs w:val="14"/>
          <w:color w:val="auto"/>
        </w:rPr>
        <w:t>”); and no action, suit or proceeding by or before any Governmental Entity involving the Company or its subsidiary with respect to the Money Laundering Laws is pending or, to the knowledge of the Company, threatened.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73" w:name="page74"/>
    <w:bookmarkEnd w:id="73"/>
    <w:p>
      <w:pPr>
        <w:ind w:left="380" w:right="399" w:firstLine="330"/>
        <w:spacing w:after="0" w:line="24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(kk)  </w:t>
      </w:r>
      <w:r>
        <w:rPr>
          <w:rFonts w:ascii="Times New Roman" w:cs="Times New Roman" w:eastAsia="Times New Roman" w:hAnsi="Times New Roman"/>
          <w:sz w:val="14"/>
          <w:szCs w:val="14"/>
          <w:u w:val="single" w:color="auto"/>
          <w:color w:val="auto"/>
        </w:rPr>
        <w:t>OFAC</w:t>
      </w:r>
      <w:r>
        <w:rPr>
          <w:rFonts w:ascii="Times New Roman" w:cs="Times New Roman" w:eastAsia="Times New Roman" w:hAnsi="Times New Roman"/>
          <w:sz w:val="14"/>
          <w:szCs w:val="14"/>
          <w:color w:val="auto"/>
        </w:rPr>
        <w:t>. None of the Company, its subsidiary or, to the knowledge of the Company, any director, officer, agent, employee, affiliate or representative of the Company or its subsidiary is a Person currently the subject or target of any sanctions administered or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its subsidiary,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(ll)   </w:t>
      </w:r>
      <w:r>
        <w:rPr>
          <w:rFonts w:ascii="Times New Roman" w:cs="Times New Roman" w:eastAsia="Times New Roman" w:hAnsi="Times New Roman"/>
          <w:sz w:val="12"/>
          <w:szCs w:val="12"/>
          <w:u w:val="single" w:color="auto"/>
          <w:color w:val="auto"/>
        </w:rPr>
        <w:t>Lending Relationship</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Except as disclosed in the Registration Statement, the General Disclosure Package and the Prospectus, the Company</w:t>
      </w:r>
    </w:p>
    <w:p>
      <w:pPr>
        <w:spacing w:after="0" w:line="38" w:lineRule="exact"/>
        <w:rPr>
          <w:sz w:val="20"/>
          <w:szCs w:val="20"/>
          <w:color w:val="auto"/>
        </w:rPr>
      </w:pPr>
    </w:p>
    <w:p>
      <w:pPr>
        <w:ind w:left="380" w:right="719" w:hanging="9"/>
        <w:spacing w:after="0" w:line="243" w:lineRule="auto"/>
        <w:tabs>
          <w:tab w:leader="none" w:pos="54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any material lending or other relationship with any bank or lending affiliate of the Agent and (ii) does not intend to use any of the proceeds from the sale of the Shares to repay any outstanding debt owed to any affiliate of the Agent.</w:t>
      </w:r>
    </w:p>
    <w:p>
      <w:pPr>
        <w:spacing w:after="0" w:line="148" w:lineRule="exact"/>
        <w:rPr>
          <w:sz w:val="20"/>
          <w:szCs w:val="20"/>
          <w:color w:val="auto"/>
        </w:rPr>
      </w:pPr>
    </w:p>
    <w:p>
      <w:pPr>
        <w:ind w:left="380" w:right="779" w:firstLine="330"/>
        <w:spacing w:after="0" w:line="251" w:lineRule="auto"/>
        <w:rPr>
          <w:sz w:val="20"/>
          <w:szCs w:val="20"/>
          <w:color w:val="auto"/>
        </w:rPr>
      </w:pPr>
      <w:r>
        <w:rPr>
          <w:rFonts w:ascii="Times New Roman" w:cs="Times New Roman" w:eastAsia="Times New Roman" w:hAnsi="Times New Roman"/>
          <w:sz w:val="14"/>
          <w:szCs w:val="14"/>
          <w:color w:val="auto"/>
        </w:rPr>
        <w:t xml:space="preserve">(mm)  </w:t>
      </w:r>
      <w:r>
        <w:rPr>
          <w:rFonts w:ascii="Times New Roman" w:cs="Times New Roman" w:eastAsia="Times New Roman" w:hAnsi="Times New Roman"/>
          <w:sz w:val="14"/>
          <w:szCs w:val="14"/>
          <w:u w:val="single" w:color="auto"/>
          <w:color w:val="auto"/>
        </w:rPr>
        <w:t>Statistical and Market-Related Data</w:t>
      </w:r>
      <w:r>
        <w:rPr>
          <w:rFonts w:ascii="Times New Roman" w:cs="Times New Roman" w:eastAsia="Times New Roman" w:hAnsi="Times New Roman"/>
          <w:sz w:val="14"/>
          <w:szCs w:val="14"/>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43" w:lineRule="exact"/>
        <w:rPr>
          <w:sz w:val="20"/>
          <w:szCs w:val="20"/>
          <w:color w:val="auto"/>
        </w:rPr>
      </w:pPr>
    </w:p>
    <w:p>
      <w:pPr>
        <w:ind w:left="380" w:right="399" w:firstLine="330"/>
        <w:spacing w:after="0" w:line="287" w:lineRule="auto"/>
        <w:rPr>
          <w:sz w:val="20"/>
          <w:szCs w:val="20"/>
          <w:color w:val="auto"/>
        </w:rPr>
      </w:pPr>
      <w:r>
        <w:rPr>
          <w:rFonts w:ascii="Times New Roman" w:cs="Times New Roman" w:eastAsia="Times New Roman" w:hAnsi="Times New Roman"/>
          <w:sz w:val="12"/>
          <w:szCs w:val="12"/>
          <w:color w:val="auto"/>
        </w:rPr>
        <w:t xml:space="preserve">(nn)  </w:t>
      </w:r>
      <w:r>
        <w:rPr>
          <w:rFonts w:ascii="Times New Roman" w:cs="Times New Roman" w:eastAsia="Times New Roman" w:hAnsi="Times New Roman"/>
          <w:sz w:val="12"/>
          <w:szCs w:val="12"/>
          <w:u w:val="single" w:color="auto"/>
          <w:color w:val="auto"/>
        </w:rPr>
        <w:t>Cybersecurity</w:t>
      </w:r>
      <w:r>
        <w:rPr>
          <w:rFonts w:ascii="Times New Roman" w:cs="Times New Roman" w:eastAsia="Times New Roman" w:hAnsi="Times New Roman"/>
          <w:sz w:val="12"/>
          <w:szCs w:val="12"/>
          <w:color w:val="auto"/>
        </w:rPr>
        <w:t>. (i) There has been no security breach or incident, unauthorized access or disclosure, or other compromise of or relating to the Company’s or its subsidiary’s information technology and computer systems, networks, hardware, software, data and databases (including the data and information of their respective customers, employees, suppliers, vendors and any third party data maintained, processed or stored by the Company and its subsidiary, and any such data processed or stored by third parties on behalf of the Company and its subsidiary, collectively, “</w:t>
      </w:r>
      <w:r>
        <w:rPr>
          <w:rFonts w:ascii="Times New Roman" w:cs="Times New Roman" w:eastAsia="Times New Roman" w:hAnsi="Times New Roman"/>
          <w:sz w:val="12"/>
          <w:szCs w:val="12"/>
          <w:u w:val="single" w:color="auto"/>
          <w:color w:val="auto"/>
        </w:rPr>
        <w:t>Data</w:t>
      </w:r>
      <w:r>
        <w:rPr>
          <w:rFonts w:ascii="Times New Roman" w:cs="Times New Roman" w:eastAsia="Times New Roman" w:hAnsi="Times New Roman"/>
          <w:sz w:val="12"/>
          <w:szCs w:val="12"/>
          <w:color w:val="auto"/>
        </w:rPr>
        <w:t>”), equipment or technology (collectively, “</w:t>
      </w:r>
      <w:r>
        <w:rPr>
          <w:rFonts w:ascii="Times New Roman" w:cs="Times New Roman" w:eastAsia="Times New Roman" w:hAnsi="Times New Roman"/>
          <w:sz w:val="12"/>
          <w:szCs w:val="12"/>
          <w:u w:val="single" w:color="auto"/>
          <w:color w:val="auto"/>
        </w:rPr>
        <w:t>IT Systems and Data</w:t>
      </w:r>
      <w:r>
        <w:rPr>
          <w:rFonts w:ascii="Times New Roman" w:cs="Times New Roman" w:eastAsia="Times New Roman" w:hAnsi="Times New Roman"/>
          <w:sz w:val="12"/>
          <w:szCs w:val="12"/>
          <w:color w:val="auto"/>
        </w:rPr>
        <w:t>”) that has resulted in any legal obligation on the Company to notify any data subject or governmental authority; (ii) neither the Company nor its subsidiary has been notified of, and each of them has no knowledge of any event or condition that could result in, any material security breach or incident, unauthorized access or disclosure or other compromise to its IT Systems and Data or reasonably be expected to result in a Material Adverse Effect; (iii) the Company and its subsidiary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(iv) the Company and its subsidiary have implemented backup and disaster recovery technology consistent with industry standards and practices; and (v) the Company’s and its subsidiary’s IT Systems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w:t>
      </w:r>
    </w:p>
    <w:p>
      <w:pPr>
        <w:spacing w:after="0" w:line="2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 xml:space="preserve">(oo)   </w:t>
      </w:r>
      <w:r>
        <w:rPr>
          <w:rFonts w:ascii="Times New Roman" w:cs="Times New Roman" w:eastAsia="Times New Roman" w:hAnsi="Times New Roman"/>
          <w:sz w:val="14"/>
          <w:szCs w:val="14"/>
          <w:u w:val="single" w:color="auto"/>
          <w:color w:val="auto"/>
        </w:rPr>
        <w:t>Compliance with Data Privacy Laws</w:t>
      </w:r>
      <w:r>
        <w:rPr>
          <w:rFonts w:ascii="Times New Roman" w:cs="Times New Roman" w:eastAsia="Times New Roman" w:hAnsi="Times New Roman"/>
          <w:sz w:val="14"/>
          <w:szCs w:val="14"/>
          <w:color w:val="auto"/>
        </w:rPr>
        <w:t>. The Company and its subsidiary have at all times been and are in material compliance with all</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applicable laws or statutes and all judgments, orders, rules and regulations of any court or arbitrator or governmental or regulatory authority, policies and</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contractual obligations relating to the privacy and security of IT Systems and Data (collectively, the “</w:t>
      </w:r>
      <w:r>
        <w:rPr>
          <w:rFonts w:ascii="Times New Roman" w:cs="Times New Roman" w:eastAsia="Times New Roman" w:hAnsi="Times New Roman"/>
          <w:sz w:val="12"/>
          <w:szCs w:val="12"/>
          <w:u w:val="single" w:color="auto"/>
          <w:color w:val="auto"/>
        </w:rPr>
        <w:t>Privacy Laws</w:t>
      </w:r>
      <w:r>
        <w:rPr>
          <w:rFonts w:ascii="Times New Roman" w:cs="Times New Roman" w:eastAsia="Times New Roman" w:hAnsi="Times New Roman"/>
          <w:sz w:val="12"/>
          <w:szCs w:val="12"/>
          <w:color w:val="auto"/>
        </w:rPr>
        <w:t>”), except where failure to comply</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would not be expected, individually or in the aggregate, to result in a Material Adverse Effect. To ensure compliance with the Privacy Laws, the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Company and its subsidiary have in place, comply with, and take appropriate steps reasonably designed to ensure compliance in all material respects</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with its policies and procedures relating to data privacy and security and the collection, storage, use, disclosure, handling, and analysis of Data (the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The Company and its subsidiary have at all times made all disclosures to users or customers required by applicable Privacy Laws, and none</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of such disclosures made or contained in any Policy have, to the Company’s knowledge, been inaccurate or in violation of any applicable Privacy Laws,</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except where failure to do so or any such inaccuracy or violation would not be expected, individually or in the aggregate, to result in a Material Adverse</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Effect. The Company and its subsidiary (i) have not received any written notice of any actual or potential liability under or relating to, or actual or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potential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74" w:name="page75"/>
    <w:bookmarkEnd w:id="74"/>
    <w:p>
      <w:pPr>
        <w:ind w:left="3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violation of, any of the Privacy Laws, and have no knowledge of any event or condition that would reasonably be expected to result in any such notice;</w:t>
      </w:r>
    </w:p>
    <w:p>
      <w:pPr>
        <w:spacing w:after="0" w:line="36" w:lineRule="exact"/>
        <w:rPr>
          <w:sz w:val="20"/>
          <w:szCs w:val="20"/>
          <w:color w:val="auto"/>
        </w:rPr>
      </w:pPr>
    </w:p>
    <w:p>
      <w:pPr>
        <w:jc w:val="both"/>
        <w:ind w:left="380" w:right="439" w:hanging="9"/>
        <w:spacing w:after="0" w:line="242" w:lineRule="auto"/>
        <w:tabs>
          <w:tab w:leader="none" w:pos="57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currently conducting or paying for, in whole or in part, any investigation, remediation, or other corrective action pursuant to any Privacy Law; and (iii) are not a party to any order, decree, or agreement that imposes any obligation or liability by any governmental or regulatory authority under any Privacy Law. The execution, delivery and performance of this Agreement or any other agreement referred to in this Agreement will not result in a breach of any Privacy Laws or Policies in any material respect.</w:t>
      </w:r>
    </w:p>
    <w:p>
      <w:pPr>
        <w:spacing w:after="0" w:line="149" w:lineRule="exact"/>
        <w:rPr>
          <w:sz w:val="20"/>
          <w:szCs w:val="20"/>
          <w:color w:val="auto"/>
        </w:rPr>
      </w:pPr>
    </w:p>
    <w:p>
      <w:pPr>
        <w:ind w:left="380" w:right="379" w:firstLine="330"/>
        <w:spacing w:after="0" w:line="290" w:lineRule="auto"/>
        <w:rPr>
          <w:sz w:val="20"/>
          <w:szCs w:val="20"/>
          <w:color w:val="auto"/>
        </w:rPr>
      </w:pPr>
      <w:r>
        <w:rPr>
          <w:rFonts w:ascii="Times New Roman" w:cs="Times New Roman" w:eastAsia="Times New Roman" w:hAnsi="Times New Roman"/>
          <w:sz w:val="12"/>
          <w:szCs w:val="12"/>
          <w:color w:val="auto"/>
        </w:rPr>
        <w:t xml:space="preserve">(pp)  </w:t>
      </w:r>
      <w:r>
        <w:rPr>
          <w:rFonts w:ascii="Times New Roman" w:cs="Times New Roman" w:eastAsia="Times New Roman" w:hAnsi="Times New Roman"/>
          <w:sz w:val="12"/>
          <w:szCs w:val="12"/>
          <w:u w:val="single" w:color="auto"/>
          <w:color w:val="auto"/>
        </w:rPr>
        <w:t>Tests and Preclinical and Clinical Studies.</w:t>
      </w:r>
      <w:r>
        <w:rPr>
          <w:rFonts w:ascii="Times New Roman" w:cs="Times New Roman" w:eastAsia="Times New Roman" w:hAnsi="Times New Roman"/>
          <w:sz w:val="12"/>
          <w:szCs w:val="12"/>
          <w:color w:val="auto"/>
        </w:rPr>
        <w:t xml:space="preserve"> The preclinical tests and clinical trials conducted or sponsored by or on behalf of the Company or in which the Company’s or its subsidiary’s product candidates participated (“</w:t>
      </w:r>
      <w:r>
        <w:rPr>
          <w:rFonts w:ascii="Times New Roman" w:cs="Times New Roman" w:eastAsia="Times New Roman" w:hAnsi="Times New Roman"/>
          <w:sz w:val="12"/>
          <w:szCs w:val="12"/>
          <w:u w:val="single" w:color="auto"/>
          <w:color w:val="auto"/>
        </w:rPr>
        <w:t>Studies</w:t>
      </w:r>
      <w:r>
        <w:rPr>
          <w:rFonts w:ascii="Times New Roman" w:cs="Times New Roman" w:eastAsia="Times New Roman" w:hAnsi="Times New Roman"/>
          <w:sz w:val="12"/>
          <w:szCs w:val="12"/>
          <w:color w:val="auto"/>
        </w:rPr>
        <w:t>”) were and, if still pending, are being conducted in all material respects in accordance with all applicable laws, rules, and regulations, including, without limitation, the Federal Food, Drug, and Cosmetic Act (21 U.S.C. Section 301 et seq.) (“</w:t>
      </w:r>
      <w:r>
        <w:rPr>
          <w:rFonts w:ascii="Times New Roman" w:cs="Times New Roman" w:eastAsia="Times New Roman" w:hAnsi="Times New Roman"/>
          <w:sz w:val="12"/>
          <w:szCs w:val="12"/>
          <w:u w:val="single" w:color="auto"/>
          <w:color w:val="auto"/>
        </w:rPr>
        <w:t>FDCA</w:t>
      </w:r>
      <w:r>
        <w:rPr>
          <w:rFonts w:ascii="Times New Roman" w:cs="Times New Roman" w:eastAsia="Times New Roman" w:hAnsi="Times New Roman"/>
          <w:sz w:val="12"/>
          <w:szCs w:val="12"/>
          <w:color w:val="auto"/>
        </w:rPr>
        <w:t>”) and its implementing regulations at 21 C.F.R. Parts 50, 54, 56, 58, and 312; each description of such Studies, and the results thereof, contained in the Registration Statement, the General Disclosure Package and the Prospectus is accurate in all material respects, and the Company has no knowledge of any other Studies the results of which are materially inconsistent with, or otherwise reasonably call into question, the results described or referred to in the Registration Statement, the General Disclosure Package and the Prospectus; the Company has not received any written notices or other written correspondence from any Governmental Entity requiring the termination, suspension or material adverse modification of any Studies, except as disclosed in the Registration Statement, the General Disclosure Package, and the Prospectus.</w:t>
      </w:r>
    </w:p>
    <w:p>
      <w:pPr>
        <w:spacing w:after="0" w:line="287" w:lineRule="exact"/>
        <w:rPr>
          <w:sz w:val="20"/>
          <w:szCs w:val="20"/>
          <w:color w:val="auto"/>
        </w:rPr>
      </w:pPr>
    </w:p>
    <w:p>
      <w:pPr>
        <w:ind w:left="380" w:right="419" w:firstLine="330"/>
        <w:spacing w:after="0" w:line="245" w:lineRule="auto"/>
        <w:rPr>
          <w:sz w:val="20"/>
          <w:szCs w:val="20"/>
          <w:color w:val="auto"/>
        </w:rPr>
      </w:pPr>
      <w:r>
        <w:rPr>
          <w:rFonts w:ascii="Times New Roman" w:cs="Times New Roman" w:eastAsia="Times New Roman" w:hAnsi="Times New Roman"/>
          <w:sz w:val="14"/>
          <w:szCs w:val="14"/>
          <w:color w:val="auto"/>
        </w:rPr>
        <w:t xml:space="preserve">(qq)  </w:t>
      </w:r>
      <w:r>
        <w:rPr>
          <w:rFonts w:ascii="Times New Roman" w:cs="Times New Roman" w:eastAsia="Times New Roman" w:hAnsi="Times New Roman"/>
          <w:sz w:val="14"/>
          <w:szCs w:val="14"/>
          <w:u w:val="single" w:color="auto"/>
          <w:color w:val="auto"/>
        </w:rPr>
        <w:t>Compliance with Health Care Laws.</w:t>
      </w:r>
      <w:r>
        <w:rPr>
          <w:rFonts w:ascii="Times New Roman" w:cs="Times New Roman" w:eastAsia="Times New Roman" w:hAnsi="Times New Roman"/>
          <w:sz w:val="14"/>
          <w:szCs w:val="14"/>
          <w:color w:val="auto"/>
        </w:rPr>
        <w:t xml:space="preserve"> The Company and its subsidiary is, and during the last three (3) years, has been, in compliance with all Health Care Laws, except where failure to comply would not be expected, individually or in the aggregate, to result in a Material Adverse Effect. For purposes of this Agreement, “</w:t>
      </w:r>
      <w:r>
        <w:rPr>
          <w:rFonts w:ascii="Times New Roman" w:cs="Times New Roman" w:eastAsia="Times New Roman" w:hAnsi="Times New Roman"/>
          <w:sz w:val="14"/>
          <w:szCs w:val="14"/>
          <w:u w:val="single" w:color="auto"/>
          <w:color w:val="auto"/>
        </w:rPr>
        <w:t>Health Care Laws</w:t>
      </w:r>
      <w:r>
        <w:rPr>
          <w:rFonts w:ascii="Times New Roman" w:cs="Times New Roman" w:eastAsia="Times New Roman" w:hAnsi="Times New Roman"/>
          <w:sz w:val="14"/>
          <w:szCs w:val="14"/>
          <w:color w:val="auto"/>
        </w:rPr>
        <w:t>” means: (i) the FDCA and the Public Health Service Act (42 U.S.C. Section 201 et seq.); (ii) all applicable federal, state, local and foreign health care fraud and abuse laws, including, without limitation, the Anti-Kickback Statute (42 U.S.C. Section 1320a-7b(b)), the Civil False Claims Act (31 U.S.C. Section 3729 et seq.), the criminal false statements law (42</w:t>
      </w:r>
    </w:p>
    <w:p>
      <w:pPr>
        <w:spacing w:after="0" w:line="1" w:lineRule="exact"/>
        <w:rPr>
          <w:sz w:val="20"/>
          <w:szCs w:val="20"/>
          <w:color w:val="auto"/>
        </w:rPr>
      </w:pPr>
    </w:p>
    <w:p>
      <w:pPr>
        <w:ind w:left="380" w:right="399"/>
        <w:spacing w:after="0" w:line="285" w:lineRule="auto"/>
        <w:rPr>
          <w:sz w:val="20"/>
          <w:szCs w:val="20"/>
          <w:color w:val="auto"/>
        </w:rPr>
      </w:pPr>
      <w:r>
        <w:rPr>
          <w:rFonts w:ascii="Times New Roman" w:cs="Times New Roman" w:eastAsia="Times New Roman" w:hAnsi="Times New Roman"/>
          <w:sz w:val="12"/>
          <w:szCs w:val="12"/>
          <w:color w:val="auto"/>
        </w:rPr>
        <w:t>U.S.C. Section 1320a-7b(a)), 18 U.S.C. Sections 286, 287, 1347 and 1349, the civil monetary penalties law (42 U.S.C. Section 1320a-7a), the exclusion law (42 U.S.C. Section 1320a-7), the Physician Payments Sunshine Act (42 U.S.C. Section 1320-7h), and applicable laws governing government funded or sponsored healthcare programs; (iii) the Health Insurance Portability and Accountability Act (“</w:t>
      </w:r>
      <w:r>
        <w:rPr>
          <w:rFonts w:ascii="Times New Roman" w:cs="Times New Roman" w:eastAsia="Times New Roman" w:hAnsi="Times New Roman"/>
          <w:sz w:val="12"/>
          <w:szCs w:val="12"/>
          <w:u w:val="single" w:color="auto"/>
          <w:color w:val="auto"/>
        </w:rPr>
        <w:t>HIPAA</w:t>
      </w:r>
      <w:r>
        <w:rPr>
          <w:rFonts w:ascii="Times New Roman" w:cs="Times New Roman" w:eastAsia="Times New Roman" w:hAnsi="Times New Roman"/>
          <w:sz w:val="12"/>
          <w:szCs w:val="12"/>
          <w:color w:val="auto"/>
        </w:rPr>
        <w:t>”), as amended by the Health Information Technology for Economic and Clinical Health Act (42 U.S.C. Section 17921 et seq.); (iv) all other similar local, state, federal, national, supranational and foreign laws; and (v) the regulations promulgated pursuant to such laws set forth in subparts (i) through (iv). Except as would not be expected, individually or in the aggregate, to result in a Material Adverse Effect, during the last three (3) years, the Company has not received written notice of any claim, action, suit, proceeding, hearing, enforcement, investigation, arbitration or other action from any court or arbitrator or Governmental Entity alleging that any product, operation, or activity is in violation of any Health Care Laws nor, to the Company’s knowledge, is any such written claim, action, suit, proceeding, hearing, enforcement, investigation, arbitration or other action threatened. Except as would not be expected, individually or in the aggregate, to result in a Material Adverse Effect, during the last three (3) years, the Company has filed, maintained or submitted all written reports, documents, forms, notices, applications, records, claims, submissions and supplements or amendments (“</w:t>
      </w:r>
      <w:r>
        <w:rPr>
          <w:rFonts w:ascii="Times New Roman" w:cs="Times New Roman" w:eastAsia="Times New Roman" w:hAnsi="Times New Roman"/>
          <w:sz w:val="12"/>
          <w:szCs w:val="12"/>
          <w:u w:val="single" w:color="auto"/>
          <w:color w:val="auto"/>
        </w:rPr>
        <w:t>Submissions</w:t>
      </w:r>
      <w:r>
        <w:rPr>
          <w:rFonts w:ascii="Times New Roman" w:cs="Times New Roman" w:eastAsia="Times New Roman" w:hAnsi="Times New Roman"/>
          <w:sz w:val="12"/>
          <w:szCs w:val="12"/>
          <w:color w:val="auto"/>
        </w:rPr>
        <w:t>”) as required by any Health Care Laws, and all such Submissions were accurate on the date filed (or were corrected or supplemented by a subsequent submission). The Company is not a party to any corporate integrity agreements, deferred or non-prosecution agreements, monitoring agreements, consent decrees, settlement orders, or similar written agreements with or imposed by any Governmental Entity. During the last three (3) years, neither the Company nor any of its respective employees, officers, directors, or, to the Company’s knowledge, agents has been excluded, suspended or debarred from participation in any U.S. federal health care program or human clinical research</w:t>
      </w:r>
    </w:p>
    <w:p>
      <w:pPr>
        <w:spacing w:after="0" w:line="200" w:lineRule="exact"/>
        <w:rPr>
          <w:sz w:val="20"/>
          <w:szCs w:val="20"/>
          <w:color w:val="auto"/>
        </w:rPr>
      </w:pPr>
    </w:p>
    <w:p>
      <w:pPr>
        <w:spacing w:after="0" w:line="249" w:lineRule="exact"/>
        <w:rPr>
          <w:sz w:val="20"/>
          <w:szCs w:val="20"/>
          <w:color w:val="auto"/>
        </w:rPr>
      </w:pPr>
    </w:p>
    <w:p>
      <w:pPr>
        <w:ind w:left="380" w:right="459" w:firstLine="330"/>
        <w:spacing w:after="0" w:line="251" w:lineRule="auto"/>
        <w:rPr>
          <w:sz w:val="20"/>
          <w:szCs w:val="20"/>
          <w:color w:val="auto"/>
        </w:rPr>
      </w:pPr>
      <w:r>
        <w:rPr>
          <w:rFonts w:ascii="Times New Roman" w:cs="Times New Roman" w:eastAsia="Times New Roman" w:hAnsi="Times New Roman"/>
          <w:sz w:val="14"/>
          <w:szCs w:val="14"/>
          <w:color w:val="auto"/>
        </w:rPr>
        <w:t xml:space="preserve">(rr)  </w:t>
      </w:r>
      <w:r>
        <w:rPr>
          <w:rFonts w:ascii="Times New Roman" w:cs="Times New Roman" w:eastAsia="Times New Roman" w:hAnsi="Times New Roman"/>
          <w:sz w:val="14"/>
          <w:szCs w:val="14"/>
          <w:u w:val="single" w:color="auto"/>
          <w:color w:val="auto"/>
        </w:rPr>
        <w:t>Forward-Looking Statements</w:t>
      </w:r>
      <w:r>
        <w:rPr>
          <w:rFonts w:ascii="Times New Roman" w:cs="Times New Roman" w:eastAsia="Times New Roman" w:hAnsi="Times New Roman"/>
          <w:sz w:val="14"/>
          <w:szCs w:val="14"/>
          <w:color w:val="auto"/>
        </w:rPr>
        <w:t>. No “forward-looking statement” (as defined by Section 27A of the 1933 Act or Section 21E of the 1934 Act) contained in the Registration Statement, the General Disclosure Package or the Prospectus has been made or reaffirmed without a reasonable basis or has been disclosed other than in good faith.</w:t>
      </w:r>
    </w:p>
    <w:p>
      <w:pPr>
        <w:spacing w:after="0" w:line="143" w:lineRule="exact"/>
        <w:rPr>
          <w:sz w:val="20"/>
          <w:szCs w:val="20"/>
          <w:color w:val="auto"/>
        </w:rPr>
      </w:pPr>
    </w:p>
    <w:p>
      <w:pPr>
        <w:ind w:left="380" w:right="659"/>
        <w:spacing w:after="0" w:line="261" w:lineRule="auto"/>
        <w:rPr>
          <w:sz w:val="20"/>
          <w:szCs w:val="20"/>
          <w:color w:val="auto"/>
        </w:rPr>
      </w:pPr>
      <w:r>
        <w:rPr>
          <w:rFonts w:ascii="Times New Roman" w:cs="Times New Roman" w:eastAsia="Times New Roman" w:hAnsi="Times New Roman"/>
          <w:sz w:val="14"/>
          <w:szCs w:val="14"/>
          <w:color w:val="auto"/>
        </w:rPr>
        <w:t>Any certificate signed by any officer of the Company and delivered to the Agent or its counsel in connection with the offering of the Shares shall be deemed a representation and warranty by the Company, as to matters covered thereby, to the Agent.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75" w:name="page76"/>
    <w:bookmarkEnd w:id="75"/>
    <w:p>
      <w:pPr>
        <w:ind w:left="7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Section 2. </w:t>
      </w:r>
      <w:r>
        <w:rPr>
          <w:rFonts w:ascii="Times New Roman" w:cs="Times New Roman" w:eastAsia="Times New Roman" w:hAnsi="Times New Roman"/>
          <w:sz w:val="14"/>
          <w:szCs w:val="14"/>
          <w:u w:val="single" w:color="auto"/>
          <w:color w:val="auto"/>
        </w:rPr>
        <w:t>Sale and Delivery of Shares</w:t>
      </w:r>
      <w:r>
        <w:rPr>
          <w:rFonts w:ascii="Times New Roman" w:cs="Times New Roman" w:eastAsia="Times New Roman" w:hAnsi="Times New Roman"/>
          <w:sz w:val="14"/>
          <w:szCs w:val="14"/>
          <w:color w:val="auto"/>
        </w:rPr>
        <w:t>.  </w:t>
      </w:r>
    </w:p>
    <w:p>
      <w:pPr>
        <w:spacing w:after="0" w:line="82" w:lineRule="exact"/>
        <w:rPr>
          <w:sz w:val="20"/>
          <w:szCs w:val="20"/>
          <w:color w:val="auto"/>
        </w:rPr>
      </w:pPr>
    </w:p>
    <w:p>
      <w:pPr>
        <w:ind w:left="380" w:right="419" w:firstLine="330"/>
        <w:spacing w:after="0" w:line="297" w:lineRule="auto"/>
        <w:rPr>
          <w:sz w:val="20"/>
          <w:szCs w:val="20"/>
          <w:color w:val="auto"/>
        </w:rPr>
      </w:pPr>
      <w:r>
        <w:rPr>
          <w:rFonts w:ascii="Times New Roman" w:cs="Times New Roman" w:eastAsia="Times New Roman" w:hAnsi="Times New Roman"/>
          <w:sz w:val="12"/>
          <w:szCs w:val="12"/>
          <w:color w:val="auto"/>
        </w:rPr>
        <w:t>(a)  Subject to the terms and conditions set forth herein, the Company agrees to issue and sell exclusively through the Agent acting as sales agent or directly to the Agent acting as principal from time to time, and the Agent agrees to use its commercially reasonable efforts to sell as sales agent for the Company, the Shares. Sales of the Shares, if any, through the Agent acting as sales agent or directly to the Agent acting as principal may be made in negotiated transactions or transactions that are deemed to be “at-the-market offerings” as defined in Rule 415 under the 1933 Act, including sales made directly on Nasdaq, or sales made to or through a market maker other than on an exchange or through an electronic communications network.</w:t>
      </w:r>
    </w:p>
    <w:p>
      <w:pPr>
        <w:spacing w:after="0" w:line="119" w:lineRule="exact"/>
        <w:rPr>
          <w:sz w:val="20"/>
          <w:szCs w:val="20"/>
          <w:color w:val="auto"/>
        </w:rPr>
      </w:pPr>
    </w:p>
    <w:p>
      <w:pPr>
        <w:ind w:left="380" w:right="399" w:firstLine="330"/>
        <w:spacing w:after="0" w:line="286" w:lineRule="auto"/>
        <w:rPr>
          <w:sz w:val="20"/>
          <w:szCs w:val="20"/>
          <w:color w:val="auto"/>
        </w:rPr>
      </w:pPr>
      <w:r>
        <w:rPr>
          <w:rFonts w:ascii="Times New Roman" w:cs="Times New Roman" w:eastAsia="Times New Roman" w:hAnsi="Times New Roman"/>
          <w:sz w:val="12"/>
          <w:szCs w:val="12"/>
          <w:color w:val="auto"/>
        </w:rPr>
        <w:t>(b)  The Shares are to be sold on a daily basis or otherwise as shall be agreed to by the Company and the Agent on that trading day (other than a day on which Nasdaq is scheduled to close prior to its regular weekday closing time, each, a “</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that the Company has satisfied its obligations under Section 6 of this Agreement and that the Company has instructed the Agent to make such sales. For the avoidance of doubt, the foregoing limitation shall not apply to sales solely to employees or security holders of the Company or its Subsidiaries, or to a trustee or other person acquiring such securities for the accounts of such persons in which Stifel Nicolaus is acting for the Company in a capacity other than as Agent under this Agreement. On any Trading Day, the Company may instruct the Agent by telephone (confirmed promptly by telecopy or email by any of the individuals from the Company set forth on Schedule 1 hereto and shall be addressed to each of the individuals from the Agent set forth on Schedule 1 hereto, which confirmation will be promptly acknowledged by the Agent) as to the maximum aggregate dollar value or number of Shares to be sold by the Agent on such day (in any event not in excess of the number available for issuance under the Prospectus and the currently effective Registration Statement, as determined by the Company) and the minimum price per Share at which such Shares may be sold. Subject to the terms and conditions hereof, the Agent shall use its commercially reasonable efforts to sell as sales agent all of the Shares so designated by the Company. The Company and the Agent each acknowledge and agree that (i) there can be no assurance that the Agent will be successful in selling the Shares, (ii) the Agent will incur no liability or obligation to the Company or any other person or entity if they do not sell Shares for any reason other than a failure by the Agent to use its commercially reasonable efforts consistent with its normal trading and sales practices and applicable law and regulations to sell such Shares as required by this Agreement, and (iii) the Agent shall be under no obligation to purchase Shares on a principal basis except as otherwise specifically agreed by each of the Agent and the Company pursuant to a Terms Agreement. In the event of a conflict between the terms of this Agreement and the terms of a Terms Agreement, the terms of such Terms Agreement will control.</w:t>
      </w:r>
    </w:p>
    <w:p>
      <w:pPr>
        <w:spacing w:after="0" w:line="200" w:lineRule="exact"/>
        <w:rPr>
          <w:sz w:val="20"/>
          <w:szCs w:val="20"/>
          <w:color w:val="auto"/>
        </w:rPr>
      </w:pPr>
    </w:p>
    <w:p>
      <w:pPr>
        <w:spacing w:after="0" w:line="251" w:lineRule="exact"/>
        <w:rPr>
          <w:sz w:val="20"/>
          <w:szCs w:val="20"/>
          <w:color w:val="auto"/>
        </w:rPr>
      </w:pPr>
    </w:p>
    <w:p>
      <w:pPr>
        <w:ind w:left="380" w:right="379" w:firstLine="330"/>
        <w:spacing w:after="0" w:line="243" w:lineRule="auto"/>
        <w:rPr>
          <w:sz w:val="20"/>
          <w:szCs w:val="20"/>
          <w:color w:val="auto"/>
        </w:rPr>
      </w:pPr>
      <w:r>
        <w:rPr>
          <w:rFonts w:ascii="Times New Roman" w:cs="Times New Roman" w:eastAsia="Times New Roman" w:hAnsi="Times New Roman"/>
          <w:sz w:val="14"/>
          <w:szCs w:val="14"/>
          <w:color w:val="auto"/>
        </w:rPr>
        <w:t>(c)  Notwithstanding the foregoing, the Company shall not authorize the issuance and sale of, and the Agent as sales agent shall not be obligated to use its commercially reasonable efforts to sell, any Shares pursuant to this Agreement in excess of the aggregate offering price or number, as the case may be, of Shares of Common Stock (i) set forth in the preamble paragraph of this Agreement, (ii) available for issuance under the Prospectus and the then currently effective Registration Statement or (iii) authorized from time to time to be issued and sold under this Agreement or any Terms Agreement by the Company’s board of directors, or a duly authorized committee thereof, and notified to the Agent in writing. In addition, under no circumstances shall any Shares with respect to which the Agent acts as sales agent be sold at a price lower than the minimum price therefor authorized from time to time by the Company’s board of directors, or a duly authorized committee thereof, and notified to the Agent in writing. In addition, the Company may, upon notice to the Agent, suspend the offering of the Shares or the Agent may, upon notice to the Company, suspend the offering of the Shares with respect to which the Agent is acting as sales agent for any reason and at any time; provided, however, that such suspension or termination shall not affect or impair the parties’ respective obligations with respect to the Shares sold hereunder prior to the giving of such notice. Any notice given pursuant to the preceding sentence may be given by telephone by any of the individuals from the Company set forth on Schedule 1 hereto (confirmed promptly by telecopy or email and shall be addressed to each of the individuals from the Agent set forth on Schedule 1 hereto, which confirmation will be promptly acknowledged).</w:t>
      </w:r>
    </w:p>
    <w:p>
      <w:pPr>
        <w:spacing w:after="0" w:line="150" w:lineRule="exact"/>
        <w:rPr>
          <w:sz w:val="20"/>
          <w:szCs w:val="20"/>
          <w:color w:val="auto"/>
        </w:rPr>
      </w:pPr>
    </w:p>
    <w:p>
      <w:pPr>
        <w:ind w:left="380" w:right="419" w:firstLine="330"/>
        <w:spacing w:after="0" w:line="248" w:lineRule="auto"/>
        <w:rPr>
          <w:sz w:val="20"/>
          <w:szCs w:val="20"/>
          <w:color w:val="auto"/>
        </w:rPr>
      </w:pPr>
      <w:r>
        <w:rPr>
          <w:rFonts w:ascii="Times New Roman" w:cs="Times New Roman" w:eastAsia="Times New Roman" w:hAnsi="Times New Roman"/>
          <w:sz w:val="14"/>
          <w:szCs w:val="14"/>
          <w:color w:val="auto"/>
        </w:rPr>
        <w:t>(d)  The gross sales price of any Shares sold pursuant to this Agreement by the Agent acting as sales agent of the Company shall be the market price prevailing at the time of sale for shares of the Company’s Common Stock sold by the Agent on Nasdaq or otherwise, at prices relating to prevailing market prices or at negotiated prices. The compensation payable to the Agent for sales of Shares with respect to which the Agent acts as sales agent shall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76" w:name="page77"/>
    <w:bookmarkEnd w:id="76"/>
    <w:p>
      <w:pPr>
        <w:ind w:left="380" w:right="39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be equal to up to 3.0% of the gross sales price of the Shares for amounts of Shares sold pursuant to this Agreement. The Company may sell Shares to the Agent, acting as principal, at a price agreed upon with the Agent at the relevant Applicable Time and pursuant to a separate Terms Agreement. The remaining proceeds, after further deduction for any transaction fees imposed by any governmental, regulatory or self-regulatory organization in respect of such sales, shall constitute the net proceeds to the Company for such Shares (the “</w:t>
      </w:r>
      <w:r>
        <w:rPr>
          <w:rFonts w:ascii="Times New Roman" w:cs="Times New Roman" w:eastAsia="Times New Roman" w:hAnsi="Times New Roman"/>
          <w:sz w:val="14"/>
          <w:szCs w:val="14"/>
          <w:u w:val="single" w:color="auto"/>
          <w:color w:val="auto"/>
        </w:rPr>
        <w:t>Net Proceeds</w:t>
      </w:r>
      <w:r>
        <w:rPr>
          <w:rFonts w:ascii="Times New Roman" w:cs="Times New Roman" w:eastAsia="Times New Roman" w:hAnsi="Times New Roman"/>
          <w:sz w:val="14"/>
          <w:szCs w:val="14"/>
          <w:color w:val="auto"/>
        </w:rPr>
        <w:t>”). The Agent shall notify the Company as promptly as practicable if any deduction referenced in the preceding sentence will be required.</w:t>
      </w:r>
    </w:p>
    <w:p>
      <w:pPr>
        <w:spacing w:after="0" w:line="148" w:lineRule="exact"/>
        <w:rPr>
          <w:sz w:val="20"/>
          <w:szCs w:val="20"/>
          <w:color w:val="auto"/>
        </w:rPr>
      </w:pPr>
    </w:p>
    <w:p>
      <w:pPr>
        <w:jc w:val="both"/>
        <w:ind w:left="380" w:right="499" w:firstLine="330"/>
        <w:spacing w:after="0" w:line="313" w:lineRule="auto"/>
        <w:rPr>
          <w:sz w:val="20"/>
          <w:szCs w:val="20"/>
          <w:color w:val="auto"/>
        </w:rPr>
      </w:pPr>
      <w:r>
        <w:rPr>
          <w:rFonts w:ascii="Times New Roman" w:cs="Times New Roman" w:eastAsia="Times New Roman" w:hAnsi="Times New Roman"/>
          <w:sz w:val="12"/>
          <w:szCs w:val="12"/>
          <w:color w:val="auto"/>
        </w:rPr>
        <w:t>(e)  If acting as a sales agent hereunder, the Agent shall provide written confirmation to the Company following the close of trading on Nasdaq, each day in which Shares are sold under this Agreement setting forth the number of Shares sold on such day, the aggregate gross sales proceeds of the Shares, the Net Proceeds to the Company and the compensation payable by the Company to such Agent with respect to such sales.</w:t>
      </w:r>
    </w:p>
    <w:p>
      <w:pPr>
        <w:spacing w:after="0" w:line="108" w:lineRule="exact"/>
        <w:rPr>
          <w:sz w:val="20"/>
          <w:szCs w:val="20"/>
          <w:color w:val="auto"/>
        </w:rPr>
      </w:pPr>
    </w:p>
    <w:p>
      <w:pPr>
        <w:ind w:left="380" w:right="459" w:firstLine="330"/>
        <w:spacing w:after="0" w:line="244" w:lineRule="auto"/>
        <w:rPr>
          <w:sz w:val="20"/>
          <w:szCs w:val="20"/>
          <w:color w:val="auto"/>
        </w:rPr>
      </w:pPr>
      <w:r>
        <w:rPr>
          <w:rFonts w:ascii="Times New Roman" w:cs="Times New Roman" w:eastAsia="Times New Roman" w:hAnsi="Times New Roman"/>
          <w:sz w:val="14"/>
          <w:szCs w:val="14"/>
          <w:color w:val="auto"/>
        </w:rPr>
        <w:t>(f)  Settlement for sales of Shares pursuant to this Section 2 will occur on the first business day that is also a Trading Day following the trade date on which such sales are made, unless another date shall be agreed to by the Company and the Agent (each such day, a “</w:t>
      </w:r>
      <w:r>
        <w:rPr>
          <w:rFonts w:ascii="Times New Roman" w:cs="Times New Roman" w:eastAsia="Times New Roman" w:hAnsi="Times New Roman"/>
          <w:sz w:val="14"/>
          <w:szCs w:val="14"/>
          <w:u w:val="single" w:color="auto"/>
          <w:color w:val="auto"/>
        </w:rPr>
        <w:t>Settlement Date</w:t>
      </w:r>
      <w:r>
        <w:rPr>
          <w:rFonts w:ascii="Times New Roman" w:cs="Times New Roman" w:eastAsia="Times New Roman" w:hAnsi="Times New Roman"/>
          <w:sz w:val="14"/>
          <w:szCs w:val="14"/>
          <w:color w:val="auto"/>
        </w:rPr>
        <w:t>”). On each Settlement Date, the Shares sold through the Agent for settlement on such date shall be delivered by the Company to the Agent against payment of the Net Proceeds from the sale of such Shares. Settlement for all Shares shall be effected by book-entry delivery of Shares to the Agent’s account at The Depository Trust Company against payments by the Agent of the Net Proceeds from the sale of such Shares in same day funds delivered to an account designated by the Company. If the Company shall default on its obligation to deliver Shares on any Settlement Date, the Company shall (i) indemnify and hold the Agent harmless against any loss, claim or damage arising from or as a result of such default by the Company and (ii) pay the Agent any commission to which it would otherwise be entitled absent such default.</w:t>
      </w:r>
    </w:p>
    <w:p>
      <w:pPr>
        <w:spacing w:after="0" w:line="150" w:lineRule="exact"/>
        <w:rPr>
          <w:sz w:val="20"/>
          <w:szCs w:val="20"/>
          <w:color w:val="auto"/>
        </w:rPr>
      </w:pPr>
    </w:p>
    <w:p>
      <w:pPr>
        <w:ind w:left="380" w:right="479" w:firstLine="330"/>
        <w:spacing w:after="0" w:line="246" w:lineRule="auto"/>
        <w:rPr>
          <w:sz w:val="20"/>
          <w:szCs w:val="20"/>
          <w:color w:val="auto"/>
        </w:rPr>
      </w:pPr>
      <w:r>
        <w:rPr>
          <w:rFonts w:ascii="Times New Roman" w:cs="Times New Roman" w:eastAsia="Times New Roman" w:hAnsi="Times New Roman"/>
          <w:sz w:val="14"/>
          <w:szCs w:val="14"/>
          <w:color w:val="auto"/>
        </w:rPr>
        <w:t>(g)  Notwithstanding any other provision of this Agreement, the Company and the Agent agree that no sales of Shares shall take place, and the Company shall not request the sale of any Shares that would be sold, and the Agent shall not be obligated to sell, during any period in which the Company is, or could be deemed to be, in possession of material non-public information; provided that, unless otherwise agreed between the Company and the Agent, for purposes of this paragraph (g) such period shall be deemed to end on the date on which the Company’s next subsequent Annual Report on Form 10-K or Quarterly Report on Form 10-Q, as the case may be, is filed with the Commission.</w:t>
      </w:r>
    </w:p>
    <w:p>
      <w:pPr>
        <w:spacing w:after="0" w:line="148" w:lineRule="exact"/>
        <w:rPr>
          <w:sz w:val="20"/>
          <w:szCs w:val="20"/>
          <w:color w:val="auto"/>
        </w:rPr>
      </w:pPr>
    </w:p>
    <w:p>
      <w:pPr>
        <w:ind w:left="380" w:right="439" w:firstLine="330"/>
        <w:spacing w:after="0" w:line="246" w:lineRule="auto"/>
        <w:rPr>
          <w:sz w:val="20"/>
          <w:szCs w:val="20"/>
          <w:color w:val="auto"/>
        </w:rPr>
      </w:pPr>
      <w:r>
        <w:rPr>
          <w:rFonts w:ascii="Times New Roman" w:cs="Times New Roman" w:eastAsia="Times New Roman" w:hAnsi="Times New Roman"/>
          <w:sz w:val="14"/>
          <w:szCs w:val="14"/>
          <w:color w:val="auto"/>
        </w:rPr>
        <w:t>(h)  At each Applicable Time, Settlement Date, Registration Amendment Date and each Company Periodic Report Date, the Company shall be deemed to have affirmed each representation and warranty contained in this Agreement. Any obligation of the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Covenants.</w:t>
      </w:r>
      <w:r>
        <w:rPr>
          <w:rFonts w:ascii="Times New Roman" w:cs="Times New Roman" w:eastAsia="Times New Roman" w:hAnsi="Times New Roman"/>
          <w:sz w:val="14"/>
          <w:szCs w:val="14"/>
          <w:color w:val="auto"/>
        </w:rPr>
        <w:t xml:space="preserve">   The Company agrees with the Agent:</w:t>
      </w:r>
    </w:p>
    <w:p>
      <w:pPr>
        <w:spacing w:after="0" w:line="163" w:lineRule="exact"/>
        <w:rPr>
          <w:sz w:val="20"/>
          <w:szCs w:val="20"/>
          <w:color w:val="auto"/>
        </w:rPr>
      </w:pPr>
    </w:p>
    <w:p>
      <w:pPr>
        <w:ind w:left="380" w:right="499" w:firstLine="330"/>
        <w:spacing w:after="0" w:line="284" w:lineRule="auto"/>
        <w:rPr>
          <w:sz w:val="20"/>
          <w:szCs w:val="20"/>
          <w:color w:val="auto"/>
        </w:rPr>
      </w:pPr>
      <w:r>
        <w:rPr>
          <w:rFonts w:ascii="Times New Roman" w:cs="Times New Roman" w:eastAsia="Times New Roman" w:hAnsi="Times New Roman"/>
          <w:sz w:val="12"/>
          <w:szCs w:val="12"/>
          <w:color w:val="auto"/>
        </w:rPr>
        <w:t>(a)  During any period when the delivery of a prospectus is required in connection with the offering or sale of Shares (whether physically or through compliance with Rule 153 or 172, or in lieu thereof, a notice referred to in Rule 173(a) under the 1933 Act), (i) to make no further amendment or any supplement to the Registration Statement or the Prospectus (other than an amendment or supplement relating to an offering of the Company’s securities which is unrelated to the offering of the Shares hereunder) prior to any Settlement Date which shall be disapproved by the Agent promptly after reasonable notice thereof and to advise the Agent, promptly after it receives notice thereof, of the time when any amendment to the Registration Statement has been filed or becomes effective or any amendment or supplement to the Prospectus (other than an amendment or supplement relating to an offering of the Company’s securities which is unrelated to the offering of the Shares hereunder) has been filed and to furnish the Agent with copies thereof, (ii) to file promptly all other material required to be filed by the Company with the Commission pursuant to Rule 433(d) under the 1933 Act,</w:t>
      </w:r>
    </w:p>
    <w:p>
      <w:pPr>
        <w:spacing w:after="0" w:line="3" w:lineRule="exact"/>
        <w:rPr>
          <w:sz w:val="20"/>
          <w:szCs w:val="20"/>
          <w:color w:val="auto"/>
        </w:rPr>
      </w:pPr>
    </w:p>
    <w:p>
      <w:pPr>
        <w:ind w:left="380" w:right="399" w:hanging="9"/>
        <w:spacing w:after="0" w:line="242" w:lineRule="auto"/>
        <w:tabs>
          <w:tab w:leader="none" w:pos="6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any permitted extensions, to file promptly all reports and any definitive proxy or information statements required to be filed by the Company with the Commission pursuant to Section 13(a), 13(c), 14 or 15(d) of the 1934 Act, (iv) to advise the Agent, promptly after it receives notice thereof, of the issuance by the Commission of any stop order or of any order preventing or suspending the use of the Prospectus or other prospectus in respect of the Shares, of any notice of objection of the Commission to the use of the form of the Registration Statement or any post-effective amendment thereto pursuant to Rule 401(g)(2) under the 1933 Act, of the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8" w:right="1440" w:bottom="1440" w:gutter="0" w:footer="0" w:header="0"/>
        </w:sectPr>
      </w:pPr>
    </w:p>
    <w:bookmarkStart w:id="77" w:name="page78"/>
    <w:bookmarkEnd w:id="77"/>
    <w:p>
      <w:pPr>
        <w:ind w:left="380" w:right="399"/>
        <w:spacing w:after="0" w:line="29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commercially reasonable steps as may be necessary to permit offers and sales of the Shares by the Agent,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obligated to furnish copies of any report or statement filed with the Commission to the extent it is available on the Commission’s Electronic Data Gathering, Analysis, and Retrieval System (“EDGAR”).</w:t>
      </w:r>
    </w:p>
    <w:p>
      <w:pPr>
        <w:spacing w:after="0" w:line="287" w:lineRule="exact"/>
        <w:rPr>
          <w:sz w:val="20"/>
          <w:szCs w:val="20"/>
          <w:color w:val="auto"/>
        </w:rPr>
      </w:pPr>
    </w:p>
    <w:p>
      <w:pPr>
        <w:ind w:left="380" w:right="419" w:firstLine="330"/>
        <w:spacing w:after="0" w:line="245" w:lineRule="auto"/>
        <w:rPr>
          <w:sz w:val="20"/>
          <w:szCs w:val="20"/>
          <w:color w:val="auto"/>
        </w:rPr>
      </w:pPr>
      <w:r>
        <w:rPr>
          <w:rFonts w:ascii="Times New Roman" w:cs="Times New Roman" w:eastAsia="Times New Roman" w:hAnsi="Times New Roman"/>
          <w:sz w:val="14"/>
          <w:szCs w:val="14"/>
          <w:color w:val="auto"/>
        </w:rPr>
        <w:t>(b)  Promptly from time to time to take such action as the Agent may reasonably request to qualify the Shares for offering and sale under the securities laws of such jurisdictions as the Agent may request and to comply with such laws so as to permit the continuance of sales and dealings therein in such jurisdictions for as long as may be necessary to complete the sale of the Shares, provided that in connection therewith the Company shall not be required to qualify as a foreign corporation or to file a general consent to service of process in any jurisdiction; and to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49" w:lineRule="exact"/>
        <w:rPr>
          <w:sz w:val="20"/>
          <w:szCs w:val="20"/>
          <w:color w:val="auto"/>
        </w:rPr>
      </w:pPr>
    </w:p>
    <w:p>
      <w:pPr>
        <w:ind w:left="380" w:right="399" w:firstLine="330"/>
        <w:spacing w:after="0" w:line="287" w:lineRule="auto"/>
        <w:rPr>
          <w:sz w:val="20"/>
          <w:szCs w:val="20"/>
          <w:color w:val="auto"/>
        </w:rPr>
      </w:pPr>
      <w:r>
        <w:rPr>
          <w:rFonts w:ascii="Times New Roman" w:cs="Times New Roman" w:eastAsia="Times New Roman" w:hAnsi="Times New Roman"/>
          <w:sz w:val="12"/>
          <w:szCs w:val="12"/>
          <w:color w:val="auto"/>
        </w:rPr>
        <w:t>(c)  During any period when the delivery of a prospectus is required (whether physically or through compliance with Rules 153 or 172, or in lieu thereof, a notice referred to in Rule 173(a) under the 1933 Act) in connection with the offering or sale of Shares, the Company will make available to the Agent, as soon as practicable after the execution of this Agreement, and thereafter from time to time furnish to the Agent, copies of the most recent Prospectus in such quantities and at such locations as the Agent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 and to file such document and to prepare and furnish without charge to the Agent as many written and electronic copies as the Agent may from time to time reasonably request of an amended Prospectus or a supplement to the Prospectus which will correct such statement or omission or effect such compliance. Notwithstanding the foregoing, the Company shall not be required to furnish any document to the extent such document is available on EDGAR.</w:t>
      </w:r>
    </w:p>
    <w:p>
      <w:pPr>
        <w:spacing w:after="0" w:line="289" w:lineRule="exact"/>
        <w:rPr>
          <w:sz w:val="20"/>
          <w:szCs w:val="20"/>
          <w:color w:val="auto"/>
        </w:rPr>
      </w:pPr>
    </w:p>
    <w:p>
      <w:pPr>
        <w:ind w:left="380" w:right="439" w:firstLine="330"/>
        <w:spacing w:after="0" w:line="302" w:lineRule="auto"/>
        <w:rPr>
          <w:sz w:val="20"/>
          <w:szCs w:val="20"/>
          <w:color w:val="auto"/>
        </w:rPr>
      </w:pPr>
      <w:r>
        <w:rPr>
          <w:rFonts w:ascii="Times New Roman" w:cs="Times New Roman" w:eastAsia="Times New Roman" w:hAnsi="Times New Roman"/>
          <w:sz w:val="12"/>
          <w:szCs w:val="12"/>
          <w:color w:val="auto"/>
        </w:rPr>
        <w:t>(d)  To make generally available to its securityholders as soon as practicable, but in any event not later than sixteen months after the effective date of the Registration Statement (as defined in Rule 158(c) under the 1933 Act), an earnings statement of the Company and its Subsidiaries (which need not be audited) complying with Section 11(a) of the 1933 Act and the rules and regulations of the Commission thereunder (including, at the option of the Company, Rule 158), which requirement may be satisfied by publicly filing the required information on EDGAR.</w:t>
      </w:r>
    </w:p>
    <w:p>
      <w:pPr>
        <w:spacing w:after="0" w:line="116" w:lineRule="exact"/>
        <w:rPr>
          <w:sz w:val="20"/>
          <w:szCs w:val="20"/>
          <w:color w:val="auto"/>
        </w:rPr>
      </w:pPr>
    </w:p>
    <w:p>
      <w:pPr>
        <w:ind w:left="380" w:right="659" w:firstLine="330"/>
        <w:spacing w:after="0" w:line="261" w:lineRule="auto"/>
        <w:rPr>
          <w:sz w:val="20"/>
          <w:szCs w:val="20"/>
          <w:color w:val="auto"/>
        </w:rPr>
      </w:pPr>
      <w:r>
        <w:rPr>
          <w:rFonts w:ascii="Times New Roman" w:cs="Times New Roman" w:eastAsia="Times New Roman" w:hAnsi="Times New Roman"/>
          <w:sz w:val="14"/>
          <w:szCs w:val="14"/>
          <w:color w:val="auto"/>
        </w:rPr>
        <w:t>(e)  To pay the required Commission filing fees relating to the Shares within the time required by Rule 456(b)(1) under the 1933 Act without regard to the proviso therein and otherwise in accordance with Rules 456(b) and 457(r) under the 1933 Act.</w:t>
      </w:r>
    </w:p>
    <w:p>
      <w:pPr>
        <w:spacing w:after="0" w:line="136" w:lineRule="exact"/>
        <w:rPr>
          <w:sz w:val="20"/>
          <w:szCs w:val="20"/>
          <w:color w:val="auto"/>
        </w:rPr>
      </w:pPr>
    </w:p>
    <w:p>
      <w:pPr>
        <w:ind w:left="380" w:right="759" w:firstLine="330"/>
        <w:spacing w:after="0" w:line="261" w:lineRule="auto"/>
        <w:rPr>
          <w:sz w:val="20"/>
          <w:szCs w:val="20"/>
          <w:color w:val="auto"/>
        </w:rPr>
      </w:pPr>
      <w:r>
        <w:rPr>
          <w:rFonts w:ascii="Times New Roman" w:cs="Times New Roman" w:eastAsia="Times New Roman" w:hAnsi="Times New Roman"/>
          <w:sz w:val="14"/>
          <w:szCs w:val="14"/>
          <w:color w:val="auto"/>
        </w:rPr>
        <w:t>(f)  To use the Net Proceeds received by it from the sale of the Shares pursuant to this Agreement and any Terms Agreement in the manner specified in the General Disclosure Package.</w:t>
      </w:r>
    </w:p>
    <w:p>
      <w:pPr>
        <w:spacing w:after="0" w:line="136" w:lineRule="exact"/>
        <w:rPr>
          <w:sz w:val="20"/>
          <w:szCs w:val="20"/>
          <w:color w:val="auto"/>
        </w:rPr>
      </w:pPr>
    </w:p>
    <w:p>
      <w:pPr>
        <w:ind w:left="380" w:right="479" w:firstLine="330"/>
        <w:spacing w:after="0" w:line="251" w:lineRule="auto"/>
        <w:rPr>
          <w:sz w:val="20"/>
          <w:szCs w:val="20"/>
          <w:color w:val="auto"/>
        </w:rPr>
      </w:pPr>
      <w:r>
        <w:rPr>
          <w:rFonts w:ascii="Times New Roman" w:cs="Times New Roman" w:eastAsia="Times New Roman" w:hAnsi="Times New Roman"/>
          <w:sz w:val="14"/>
          <w:szCs w:val="14"/>
          <w:color w:val="auto"/>
        </w:rPr>
        <w:t>(g)  In connection with the offering and sale of the Shares, the Company will file with Nasdaq all documents and notices, and make all certifications, required by Nasdaq of companies that have securities that are listed or quoted on Nasdaq and will use commercially reasonable efforts to maintain such listings or quotations.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78" w:name="page79"/>
    <w:bookmarkEnd w:id="78"/>
    <w:p>
      <w:pPr>
        <w:ind w:left="380" w:right="799" w:firstLine="330"/>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(h)  To not take, directly or indirectly, and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43" w:lineRule="exact"/>
        <w:rPr>
          <w:sz w:val="20"/>
          <w:szCs w:val="20"/>
          <w:color w:val="auto"/>
        </w:rPr>
      </w:pPr>
    </w:p>
    <w:p>
      <w:pPr>
        <w:ind w:left="380" w:right="399" w:firstLine="330"/>
        <w:spacing w:after="0" w:line="244" w:lineRule="auto"/>
        <w:rPr>
          <w:sz w:val="20"/>
          <w:szCs w:val="20"/>
          <w:color w:val="auto"/>
        </w:rPr>
      </w:pPr>
      <w:r>
        <w:rPr>
          <w:rFonts w:ascii="Times New Roman" w:cs="Times New Roman" w:eastAsia="Times New Roman" w:hAnsi="Times New Roman"/>
          <w:sz w:val="14"/>
          <w:szCs w:val="14"/>
          <w:color w:val="auto"/>
        </w:rPr>
        <w:t>(i)  At each Applicable Time, each Settlement Date, each Registration Statement Amendment Date (as defined below), each Company Periodic Report Date (as defined below) and each date on which Shares are delivered to the Agent pursuant to a Terms Agreement, the Company shall be deemed to have affirmed each representation, warranty, covenant and other agreement contained in this Agreement or any Terms Agreement. In each Annual Report on Form 10-K or Quarterly Report on Form 10-Q filed by the Company in respect of any quarter in which sales of Shares were made by or through the Agent under this Agreement or any Terms Agreement (each date on which any such document is filed, and any date on which an amendment to any such document is filed, a “</w:t>
      </w:r>
      <w:r>
        <w:rPr>
          <w:rFonts w:ascii="Times New Roman" w:cs="Times New Roman" w:eastAsia="Times New Roman" w:hAnsi="Times New Roman"/>
          <w:sz w:val="14"/>
          <w:szCs w:val="14"/>
          <w:u w:val="single" w:color="auto"/>
          <w:color w:val="auto"/>
        </w:rPr>
        <w:t>Company Periodic Report Date</w:t>
      </w:r>
      <w:r>
        <w:rPr>
          <w:rFonts w:ascii="Times New Roman" w:cs="Times New Roman" w:eastAsia="Times New Roman" w:hAnsi="Times New Roman"/>
          <w:sz w:val="14"/>
          <w:szCs w:val="14"/>
          <w:color w:val="auto"/>
        </w:rPr>
        <w:t>”), the Company shall set forth with regard to such quarter the number of Shares sold through the Agent under this Agreement or any Terms Agreement and the Net Proceeds received by the Company with respect to sales of Shares pursuant to this Agreement or any Terms Agreement.</w:t>
      </w:r>
    </w:p>
    <w:p>
      <w:pPr>
        <w:spacing w:after="0" w:line="150" w:lineRule="exact"/>
        <w:rPr>
          <w:sz w:val="20"/>
          <w:szCs w:val="20"/>
          <w:color w:val="auto"/>
        </w:rPr>
      </w:pPr>
    </w:p>
    <w:p>
      <w:pPr>
        <w:ind w:left="380" w:right="379" w:firstLine="330"/>
        <w:spacing w:after="0" w:line="285" w:lineRule="auto"/>
        <w:rPr>
          <w:sz w:val="20"/>
          <w:szCs w:val="20"/>
          <w:color w:val="auto"/>
        </w:rPr>
      </w:pPr>
      <w:r>
        <w:rPr>
          <w:rFonts w:ascii="Times New Roman" w:cs="Times New Roman" w:eastAsia="Times New Roman" w:hAnsi="Times New Roman"/>
          <w:sz w:val="12"/>
          <w:szCs w:val="12"/>
          <w:color w:val="auto"/>
        </w:rPr>
        <w:t>(j)  Upon commencement of the offering of Shares under this Agreement and each time the Shares are delivered to the Agent as principal on a Settlement Date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3(i), (3) in connection with the filing of any current reports on Form 8-K (other than any current reports on Form 8-K which contain financial statements, supporting schedules or other financial data that are material to an offering of securities of the Company in the Agent’s reasonable discretion, including any current report on Form 8-K under Item 2.02 of such form that is considered “filed” under the 1934 Act) or (4) by a prospectus supplement relating to the offering of other securities (including, without limitation, other shares of Common Stock)) (each such date, a “</w:t>
      </w:r>
      <w:r>
        <w:rPr>
          <w:rFonts w:ascii="Times New Roman" w:cs="Times New Roman" w:eastAsia="Times New Roman" w:hAnsi="Times New Roman"/>
          <w:sz w:val="12"/>
          <w:szCs w:val="12"/>
          <w:u w:val="single" w:color="auto"/>
          <w:color w:val="auto"/>
        </w:rPr>
        <w:t>Registration Statement Amendment Date</w:t>
      </w:r>
      <w:r>
        <w:rPr>
          <w:rFonts w:ascii="Times New Roman" w:cs="Times New Roman" w:eastAsia="Times New Roman" w:hAnsi="Times New Roman"/>
          <w:sz w:val="12"/>
          <w:szCs w:val="12"/>
          <w:color w:val="auto"/>
        </w:rPr>
        <w:t>”) and (ii) Company Periodic Report Date, the Company will furnish or cause to be furnished forthwith to the Agent a certificate dated the date of effectiveness of such amendment or the date of filing with the Commission of such supplement or other document, as the case may be, in a form reasonably satisfactory to the Agent to the effect that the statements contained in the certificate referred to in Section 6(f) of this Agreement which were last furnished to the Agent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6(f),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deliver any such certificate if it has notified the Agent that it does not then presently intend to make sales of Shares under this agreement; provided, however, that such certificate shall then be required to be delivered to the Agent prior to any further sales of Shares under this Agreement covering the period which would most recently have been required but for such notice.</w:t>
      </w:r>
    </w:p>
    <w:p>
      <w:pPr>
        <w:spacing w:after="0" w:line="200" w:lineRule="exact"/>
        <w:rPr>
          <w:sz w:val="20"/>
          <w:szCs w:val="20"/>
          <w:color w:val="auto"/>
        </w:rPr>
      </w:pPr>
    </w:p>
    <w:p>
      <w:pPr>
        <w:spacing w:after="0" w:line="254" w:lineRule="exact"/>
        <w:rPr>
          <w:sz w:val="20"/>
          <w:szCs w:val="20"/>
          <w:color w:val="auto"/>
        </w:rPr>
      </w:pPr>
    </w:p>
    <w:p>
      <w:pPr>
        <w:ind w:left="380" w:right="399" w:firstLine="330"/>
        <w:spacing w:after="0" w:line="243" w:lineRule="auto"/>
        <w:rPr>
          <w:sz w:val="20"/>
          <w:szCs w:val="20"/>
          <w:color w:val="auto"/>
        </w:rPr>
      </w:pPr>
      <w:r>
        <w:rPr>
          <w:rFonts w:ascii="Times New Roman" w:cs="Times New Roman" w:eastAsia="Times New Roman" w:hAnsi="Times New Roman"/>
          <w:sz w:val="14"/>
          <w:szCs w:val="14"/>
          <w:color w:val="auto"/>
        </w:rPr>
        <w:t>(k)  Upon commencement of the offering of Shares under this Agreement and each time the Shares are delivered to the Agent as principal on a Settlement Date, and promptly after each (i) Registration Statement Amendment Date and (ii) Company Periodic Report Date, the Company will furnish or cause to be furnished to the Agent and to counsel to the Agent (A) the written opinion and negative assurance letter of each Company counsel or other counsel reasonably satisfactory to the Agent, dated the date of effectiveness of such amendment or the date of filing with the Commission of such supplement or other document, as the case may be, in a form and substance reasonably satisfactory to the Agent and its counsel, of the same tenor as the opinions and letters referred to in Section 6(c) and Section 6(d)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 shall furnish such Agent with a letter substantially to the effect that the Agent may rely on such last opinion and letter to the same extent as though each were dated the date of such letter authorizing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79" w:name="page80"/>
    <w:bookmarkEnd w:id="79"/>
    <w:p>
      <w:pPr>
        <w:ind w:left="380" w:right="399"/>
        <w:spacing w:after="0" w:line="24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reliance (except that statements in such last letter shall be deemed to relate to the Registration Statement and the Prospectus as amended and supplemented to the time of delivery of such letter authorizing reliance). As used in this paragraph, to the extent there shall be an Applicable Time on or following the date referred to in clause (i), (ii) or (iii) above, promptly shall be deemed to be on or prior to the next succeeding Applicable Time. Notwithstanding the foregoing, the Company shall not be required to deliver any such opinion or letter if it has notified the Agent that it does not then presently intend to make sales of Shares under this Agreement; provided, however, that such an opinion or letter shall then be required to be delivered to the Agent prior to any further sales of Shares under this Agreement covering the period which would most recently have been required but for such notice.</w:t>
      </w:r>
    </w:p>
    <w:p>
      <w:pPr>
        <w:spacing w:after="0" w:line="151" w:lineRule="exact"/>
        <w:rPr>
          <w:sz w:val="20"/>
          <w:szCs w:val="20"/>
          <w:color w:val="auto"/>
        </w:rPr>
      </w:pPr>
    </w:p>
    <w:p>
      <w:pPr>
        <w:ind w:left="380" w:right="419" w:firstLine="330"/>
        <w:spacing w:after="0" w:line="287" w:lineRule="auto"/>
        <w:rPr>
          <w:sz w:val="20"/>
          <w:szCs w:val="20"/>
          <w:color w:val="auto"/>
        </w:rPr>
      </w:pPr>
      <w:r>
        <w:rPr>
          <w:rFonts w:ascii="Times New Roman" w:cs="Times New Roman" w:eastAsia="Times New Roman" w:hAnsi="Times New Roman"/>
          <w:sz w:val="12"/>
          <w:szCs w:val="12"/>
          <w:color w:val="auto"/>
        </w:rPr>
        <w:t>(l)  Upon commencement of the offering of Shares under this Agreement and each time the Shares are delivered to the Agent as principal on a Settlement Date, and promptly after each (i) Registration Statement Amendment Date and (ii) Company Periodic Report Date, the Company will cause KPMG LLP, or other independent accountants reasonably satisfactory to the Agent, to furnish to the Agent a letter, dated the date of effectiveness of such amendment or the date of filing of such supplement or other document with the Commission, as the case may be, in form reasonably satisfactory to the Agent and its counsel, of the same tenor as the letter referred to in Section 6(e)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(ii) or (iii) above, promptly shall be deemed to be on or prior to the next succeeding Applicable Time. Notwithstanding the foregoing, (y) the Company shall not be required to deliver any such letter if it has notified the Agent that it does not then presently intend to make sales of Shares under this Agreement; provided, however, that such letter shall then be required to be delivered to the Agent prior to any further sales of Shares under this Agreement covering the period which would most recently have been required but for such notice, and (z) the Company shall be required to furnish no more than one comfort letter hereunder per each filing of an annual report on Form 10-K or a quarterly report on Form 10-Q; provided, however, in the event the Company files a restatement of its financial statements on Form 10-K/A, 10-Q/A or 8-K, such filing shall be considered a Company Period Report Date, and the Company shall be required to furnish a comfort letter prior to the recommencement of the offering of Shares.</w:t>
      </w:r>
    </w:p>
    <w:p>
      <w:pPr>
        <w:spacing w:after="0" w:line="286" w:lineRule="exact"/>
        <w:rPr>
          <w:sz w:val="20"/>
          <w:szCs w:val="20"/>
          <w:color w:val="auto"/>
        </w:rPr>
      </w:pPr>
    </w:p>
    <w:p>
      <w:pPr>
        <w:ind w:left="380" w:right="439" w:firstLine="330"/>
        <w:spacing w:after="0" w:line="261" w:lineRule="auto"/>
        <w:rPr>
          <w:sz w:val="20"/>
          <w:szCs w:val="20"/>
          <w:color w:val="auto"/>
        </w:rPr>
      </w:pPr>
      <w:r>
        <w:rPr>
          <w:rFonts w:ascii="Times New Roman" w:cs="Times New Roman" w:eastAsia="Times New Roman" w:hAnsi="Times New Roman"/>
          <w:sz w:val="14"/>
          <w:szCs w:val="14"/>
          <w:color w:val="auto"/>
        </w:rPr>
        <w:t>(m)  The Company consents to Stifel Nicolaus trading in the Company’s Common Stock for Stifel Nicolaus’ own account and for the account of its clients at the same time as sales of Shares occur pursuant to this Agreement or any Terms Agreement.</w:t>
      </w:r>
    </w:p>
    <w:p>
      <w:pPr>
        <w:spacing w:after="0" w:line="136" w:lineRule="exact"/>
        <w:rPr>
          <w:sz w:val="20"/>
          <w:szCs w:val="20"/>
          <w:color w:val="auto"/>
        </w:rPr>
      </w:pPr>
    </w:p>
    <w:p>
      <w:pPr>
        <w:ind w:left="380" w:right="499" w:firstLine="330"/>
        <w:spacing w:after="0" w:line="313" w:lineRule="auto"/>
        <w:rPr>
          <w:sz w:val="20"/>
          <w:szCs w:val="20"/>
          <w:color w:val="auto"/>
        </w:rPr>
      </w:pPr>
      <w:r>
        <w:rPr>
          <w:rFonts w:ascii="Times New Roman" w:cs="Times New Roman" w:eastAsia="Times New Roman" w:hAnsi="Times New Roman"/>
          <w:sz w:val="12"/>
          <w:szCs w:val="12"/>
          <w:color w:val="auto"/>
        </w:rPr>
        <w:t>(n)  If, to the knowledge of the Company, all filings required by Rule 424 in connection with this offering shall not have been made or the representations in Section 1(a) shall not be true and correct on the applicable Settlement Date, the Company will offer to any person who has agreed to purchase Shares from the Company as the result of an offer to purchase solicited by the Agent the right to refuse to purchase and pay for such Shares.</w:t>
      </w:r>
    </w:p>
    <w:p>
      <w:pPr>
        <w:spacing w:after="0" w:line="108" w:lineRule="exact"/>
        <w:rPr>
          <w:sz w:val="20"/>
          <w:szCs w:val="20"/>
          <w:color w:val="auto"/>
        </w:rPr>
      </w:pPr>
    </w:p>
    <w:p>
      <w:pPr>
        <w:ind w:left="380" w:right="519" w:firstLine="330"/>
        <w:spacing w:after="0" w:line="248" w:lineRule="auto"/>
        <w:rPr>
          <w:sz w:val="20"/>
          <w:szCs w:val="20"/>
          <w:color w:val="auto"/>
        </w:rPr>
      </w:pPr>
      <w:r>
        <w:rPr>
          <w:rFonts w:ascii="Times New Roman" w:cs="Times New Roman" w:eastAsia="Times New Roman" w:hAnsi="Times New Roman"/>
          <w:sz w:val="14"/>
          <w:szCs w:val="14"/>
          <w:color w:val="auto"/>
        </w:rPr>
        <w:t>(o)  The Company will cooperate timely with any reasonable due diligence review conducted by the Agent or its counsel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 may reasonably request.</w:t>
      </w:r>
    </w:p>
    <w:p>
      <w:pPr>
        <w:spacing w:after="0" w:line="145" w:lineRule="exact"/>
        <w:rPr>
          <w:sz w:val="20"/>
          <w:szCs w:val="20"/>
          <w:color w:val="auto"/>
        </w:rPr>
      </w:pPr>
    </w:p>
    <w:p>
      <w:pPr>
        <w:ind w:left="380" w:right="399" w:firstLine="330"/>
        <w:spacing w:after="0" w:line="243" w:lineRule="auto"/>
        <w:rPr>
          <w:sz w:val="20"/>
          <w:szCs w:val="20"/>
          <w:color w:val="auto"/>
        </w:rPr>
      </w:pPr>
      <w:r>
        <w:rPr>
          <w:rFonts w:ascii="Times New Roman" w:cs="Times New Roman" w:eastAsia="Times New Roman" w:hAnsi="Times New Roman"/>
          <w:sz w:val="14"/>
          <w:szCs w:val="14"/>
          <w:color w:val="auto"/>
        </w:rPr>
        <w:t>(p)  During each period commencing on the date on which the Company has given an instruction to sell Shares pursuant to Section 2(b) and ending on the close of business of the Settlement Date of the last Shares sold pursuant to such instruction, the Company will not, without (i) giving the Agent at least three business days’ prior written notice specifying the nature of the proposed sale and the date of such proposed sale or otherwise obtaining the Agent’s written consent and (ii) the Agent suspending activity under this program for such period of time as requested by the Company or as deemed appropriate by the Agent in light of the proposed sale, (A) offer, pledge, publicly announce the intention to sell, sell, contract to sell, sell any option or contract to purchase, purchase any option or contract to sell, grant any option, right or warrant for the sale of, lend or otherwise transfer or dispose of, directly or indirectly, any shares of Common Stock or securities convertible into or exchangeable or exercisable for or repayable with Common Stock, or file any registration statement under the 1933 Act with respect to any of the foregoing (other than a shelf registration statement under Rule 415 under the 1933 Act, a registration statement on Form S-8 or post-effective amendment to the Registration Statement) or (B) enter into any swap or other agreement or any transaction that transfers in whole or in part, directly or indirectly, any of the economic consequence of ownership of the Common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80" w:name="page81"/>
    <w:bookmarkEnd w:id="80"/>
    <w:p>
      <w:pPr>
        <w:ind w:left="380" w:right="399"/>
        <w:spacing w:after="0" w:line="24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(A) the Shares to be offered and sold through the Agent pursuant to this Agreement or any Terms Agreement, (B) issuance or sale of shares of Common Stock, options to purchase shares of Common Stock or shares of Common Stock issuable upon the exercise of options or other equity awards pursuant to equity incentive plan or employee stock purchase plan rights or any inducement award under Nasdaq rules or other compensation plan of the Company approved by the board of directors of the Company or the compensation committee thereof, (C) issuance or sale of shares of Common Stock issuable upon exchange, conversion or redemption of securities or the exercise or vesting of warrants, options or other equity awards outstanding at the date an applicable instruction to sell Shares is delivered, (D) issuance or sale of shares of Common Stock or securities convertible into or exchangeable for shares of Common Stock as consideration for mergers, acquisitions or other business combinations, joint ventures, collaborations, licensing arrangements, strategic alliances, or manufacturing, distribution, marketing, supply, sponsored research, technology transfer or development, or third-party service arrangements occurring after the date of this Agreement which are not used primarily for capital raising purposes; provided that the aggregate number of shares of Common Stock issued or issuable in connection with this clause (D) do not exceed 5% of the number of shares of Common Stock of the Company then outstanding; and (E) modification of any outstanding options, warrants of any rights to purchase or acquire shares of Common Stock.</w:t>
      </w:r>
    </w:p>
    <w:p>
      <w:pPr>
        <w:spacing w:after="0" w:line="149" w:lineRule="exact"/>
        <w:rPr>
          <w:sz w:val="20"/>
          <w:szCs w:val="20"/>
          <w:color w:val="auto"/>
        </w:rPr>
      </w:pPr>
    </w:p>
    <w:p>
      <w:pPr>
        <w:ind w:left="380" w:right="479" w:firstLine="330"/>
        <w:spacing w:after="0" w:line="290" w:lineRule="auto"/>
        <w:rPr>
          <w:sz w:val="20"/>
          <w:szCs w:val="20"/>
          <w:color w:val="auto"/>
        </w:rPr>
      </w:pPr>
      <w:r>
        <w:rPr>
          <w:rFonts w:ascii="Times New Roman" w:cs="Times New Roman" w:eastAsia="Times New Roman" w:hAnsi="Times New Roman"/>
          <w:sz w:val="12"/>
          <w:szCs w:val="12"/>
          <w:color w:val="auto"/>
        </w:rPr>
        <w:t>(q)  If immediately prior to the third anniversary (the “</w:t>
      </w:r>
      <w:r>
        <w:rPr>
          <w:rFonts w:ascii="Times New Roman" w:cs="Times New Roman" w:eastAsia="Times New Roman" w:hAnsi="Times New Roman"/>
          <w:sz w:val="12"/>
          <w:szCs w:val="12"/>
          <w:u w:val="single" w:color="auto"/>
          <w:color w:val="auto"/>
        </w:rPr>
        <w:t>Renewal Deadline</w:t>
      </w:r>
      <w:r>
        <w:rPr>
          <w:rFonts w:ascii="Times New Roman" w:cs="Times New Roman" w:eastAsia="Times New Roman" w:hAnsi="Times New Roman"/>
          <w:sz w:val="12"/>
          <w:szCs w:val="12"/>
          <w:color w:val="auto"/>
        </w:rPr>
        <w:t>”) of the initial effective date of the Registration Statement, any of the Shares remain unsold, the Company will, prior to the Renewal Deadline file, if it has not already done so and is eligible to do so, an “automatic shelf registration statement” (as defined in Rule 405 under the 1933 Act) relating to the Shares, in a form satisfactory to the Agent. If the Company is not eligible to file an automatic shelf registration statement, the Company will, prior to the Renewal Deadline, if it has not already done so, file a new shelf registration statement relating to the Shares, in a form satisfactory to the Agent, and will use its best efforts to cause such registration statement to be declared effective within 60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Free Writing Prospectus</w:t>
      </w:r>
      <w:r>
        <w:rPr>
          <w:rFonts w:ascii="Times New Roman" w:cs="Times New Roman" w:eastAsia="Times New Roman" w:hAnsi="Times New Roman"/>
          <w:sz w:val="14"/>
          <w:szCs w:val="14"/>
          <w:color w:val="auto"/>
        </w:rPr>
        <w:t>.</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7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(i)    The Company represents and agrees that without the prior consent of the Agent, it has not made and will not make any offer relating</w:t>
            </w:r>
          </w:p>
        </w:tc>
      </w:tr>
      <w:tr>
        <w:trPr>
          <w:trHeight w:val="174"/>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5"/>
              </w:rPr>
              <w:t>to the</w:t>
            </w:r>
          </w:p>
        </w:tc>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that would constitute a “free writing prospectus” as defined in Rule 405 under the 1933 Act; and</w:t>
            </w:r>
          </w:p>
        </w:tc>
      </w:tr>
      <w:tr>
        <w:trPr>
          <w:trHeight w:val="231"/>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7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(ii)    the Agent represents and agrees that, without the prior consent of the Company, it has not made and will not make any offer relating</w:t>
            </w:r>
          </w:p>
        </w:tc>
      </w:tr>
      <w:tr>
        <w:trPr>
          <w:trHeight w:val="174"/>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5"/>
              </w:rPr>
              <w:t>to the</w:t>
            </w:r>
          </w:p>
        </w:tc>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that would constitute a free writing prospectus required to be filed with the Commission.</w:t>
            </w:r>
          </w:p>
        </w:tc>
      </w:tr>
    </w:tbl>
    <w:p>
      <w:pPr>
        <w:spacing w:after="0" w:line="150" w:lineRule="exact"/>
        <w:rPr>
          <w:sz w:val="20"/>
          <w:szCs w:val="20"/>
          <w:color w:val="auto"/>
        </w:rPr>
      </w:pPr>
    </w:p>
    <w:p>
      <w:pPr>
        <w:jc w:val="both"/>
        <w:ind w:left="380" w:right="599" w:firstLine="330"/>
        <w:spacing w:after="0" w:line="251" w:lineRule="auto"/>
        <w:rPr>
          <w:sz w:val="20"/>
          <w:szCs w:val="20"/>
          <w:color w:val="auto"/>
        </w:rPr>
      </w:pPr>
      <w:r>
        <w:rPr>
          <w:rFonts w:ascii="Times New Roman" w:cs="Times New Roman" w:eastAsia="Times New Roman" w:hAnsi="Times New Roman"/>
          <w:sz w:val="14"/>
          <w:szCs w:val="14"/>
          <w:color w:val="auto"/>
        </w:rPr>
        <w:t>(b)  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Payment of Expenses</w:t>
      </w:r>
      <w:r>
        <w:rPr>
          <w:rFonts w:ascii="Times New Roman" w:cs="Times New Roman" w:eastAsia="Times New Roman" w:hAnsi="Times New Roman"/>
          <w:sz w:val="12"/>
          <w:szCs w:val="12"/>
          <w:color w:val="auto"/>
        </w:rPr>
        <w:t>. The Company covenants and agrees with the Agent that the Company will pay or cause to be paid the following:</w:t>
      </w:r>
    </w:p>
    <w:p>
      <w:pPr>
        <w:spacing w:after="0" w:line="36" w:lineRule="exact"/>
        <w:rPr>
          <w:sz w:val="20"/>
          <w:szCs w:val="20"/>
          <w:color w:val="auto"/>
        </w:rPr>
      </w:pPr>
    </w:p>
    <w:p>
      <w:pPr>
        <w:ind w:left="380" w:right="439" w:hanging="9"/>
        <w:spacing w:after="0" w:line="281" w:lineRule="auto"/>
        <w:tabs>
          <w:tab w:leader="none" w:pos="541"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disbursements and expenses of the Company’s counsel and accountants in connection with the registration of the Shares under the 1933 Act and all other expenses in connection with the preparation, printing and filing of the Registration Statement, the Basic Prospectus, Original Prospectus, any Issuer Free Writing Prospectus and the Prospectus and amendments and supplements thereto and the mailing and delivering of copies thereof to the Agent; (ii) the cost of printing or producing this Agreement or any Terms Agreement, any Blue Sky and Legal Investment Memoranda, closing documents (including any compilations thereof) and any other documents in connection with the offering, purchase, sale and delivery of the Shares;</w:t>
      </w:r>
    </w:p>
    <w:p>
      <w:pPr>
        <w:spacing w:after="0" w:line="2" w:lineRule="exact"/>
        <w:rPr>
          <w:rFonts w:ascii="Times New Roman" w:cs="Times New Roman" w:eastAsia="Times New Roman" w:hAnsi="Times New Roman"/>
          <w:sz w:val="12"/>
          <w:szCs w:val="12"/>
          <w:color w:val="auto"/>
        </w:rPr>
      </w:pPr>
    </w:p>
    <w:p>
      <w:pPr>
        <w:ind w:left="380" w:right="439" w:hanging="9"/>
        <w:spacing w:after="0" w:line="242" w:lineRule="auto"/>
        <w:tabs>
          <w:tab w:leader="none" w:pos="6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expenses in connection with the qualification of the Shares for offering and sale under state securities laws as provided in Section 3(b) hereof, including the reasonable fees and disbursements of counsel for the Agent in connection with such qualification and in connection with the Blue Sky and Legal Investment Surveys (such fees and disbursements of counsel not to exceed $10,000 in the aggregate); (iv) any filing fees incident to, and the reasonable fees and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81" w:name="page82"/>
    <w:bookmarkEnd w:id="81"/>
    <w:p>
      <w:pPr>
        <w:ind w:left="380" w:right="479"/>
        <w:spacing w:after="0" w:line="29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disbursements of counsel for the Agent in connection with, any required review by FINRA of the terms of the sale of the Shares (such fees and disbursements of counsel not to exceed $10,000 in the aggregate); (v) all fees and expenses in connection with listing or quoting the Shares on Nasdaq;</w:t>
      </w:r>
    </w:p>
    <w:p>
      <w:pPr>
        <w:spacing w:after="0" w:line="1" w:lineRule="exact"/>
        <w:rPr>
          <w:sz w:val="20"/>
          <w:szCs w:val="20"/>
          <w:color w:val="auto"/>
        </w:rPr>
      </w:pPr>
    </w:p>
    <w:p>
      <w:pPr>
        <w:ind w:left="380" w:right="459" w:hanging="9"/>
        <w:spacing w:after="0" w:line="241" w:lineRule="auto"/>
        <w:tabs>
          <w:tab w:leader="none" w:pos="60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preparing the Shares; (vii) the costs and charges of any transfer agent or registrar or any dividend distribution agent; and (viii) all other costs and expenses incident to the performance of its obligations hereunder which are not otherwise specifically provided for in this Section. The fees and disbursements of counsel to the Agent pursuant to subsections (iii), (iv) and (viii) shall not exceed in the aggregate (A) $50,000 in connection with the execution of this Agreement and (B) $15,000 in connection with every date specified in Section 3(j) hereof on which the Company is required to provide a certificate. It is understood, however, that, except as provided in this Section, and Section 7 hereof, the Agent will pay all of its own costs and expenses, including the fees of its counsel, transfer taxes on resale of any of the Shares by it, and any advertising expenses connected with any offers it may make.</w:t>
      </w:r>
    </w:p>
    <w:p>
      <w:pPr>
        <w:spacing w:after="0" w:line="153" w:lineRule="exact"/>
        <w:rPr>
          <w:sz w:val="20"/>
          <w:szCs w:val="20"/>
          <w:color w:val="auto"/>
        </w:rPr>
      </w:pPr>
    </w:p>
    <w:p>
      <w:pPr>
        <w:ind w:left="380" w:right="639" w:firstLine="330"/>
        <w:spacing w:after="0" w:line="297" w:lineRule="auto"/>
        <w:rPr>
          <w:sz w:val="20"/>
          <w:szCs w:val="20"/>
          <w:color w:val="auto"/>
        </w:rPr>
      </w:pPr>
      <w:r>
        <w:rPr>
          <w:rFonts w:ascii="Times New Roman" w:cs="Times New Roman" w:eastAsia="Times New Roman" w:hAnsi="Times New Roman"/>
          <w:sz w:val="12"/>
          <w:szCs w:val="12"/>
          <w:color w:val="auto"/>
        </w:rPr>
        <w:t xml:space="preserve">Section 6. </w:t>
      </w:r>
      <w:r>
        <w:rPr>
          <w:rFonts w:ascii="Times New Roman" w:cs="Times New Roman" w:eastAsia="Times New Roman" w:hAnsi="Times New Roman"/>
          <w:sz w:val="12"/>
          <w:szCs w:val="12"/>
          <w:u w:val="single" w:color="auto"/>
          <w:color w:val="auto"/>
        </w:rPr>
        <w:t>Conditions of Agent’s Obligation</w:t>
      </w:r>
      <w:r>
        <w:rPr>
          <w:rFonts w:ascii="Times New Roman" w:cs="Times New Roman" w:eastAsia="Times New Roman" w:hAnsi="Times New Roman"/>
          <w:sz w:val="12"/>
          <w:szCs w:val="12"/>
          <w:color w:val="auto"/>
        </w:rPr>
        <w:t>. The obligations of the Agent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the date of any executed Terms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spacing w:after="0" w:line="119" w:lineRule="exact"/>
        <w:rPr>
          <w:sz w:val="20"/>
          <w:szCs w:val="20"/>
          <w:color w:val="auto"/>
        </w:rPr>
      </w:pPr>
    </w:p>
    <w:p>
      <w:pPr>
        <w:ind w:left="380" w:right="399" w:firstLine="330"/>
        <w:spacing w:after="0" w:line="244" w:lineRule="auto"/>
        <w:rPr>
          <w:sz w:val="20"/>
          <w:szCs w:val="20"/>
          <w:color w:val="auto"/>
        </w:rPr>
      </w:pPr>
      <w:r>
        <w:rPr>
          <w:rFonts w:ascii="Times New Roman" w:cs="Times New Roman" w:eastAsia="Times New Roman" w:hAnsi="Times New Roman"/>
          <w:sz w:val="14"/>
          <w:szCs w:val="14"/>
          <w:color w:val="auto"/>
        </w:rPr>
        <w:t>(a)  The Registration Statement containing the Original Prospectus shall have been filed with the Commission on the date hereof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w:t>
      </w:r>
    </w:p>
    <w:p>
      <w:pPr>
        <w:spacing w:after="0" w:line="150" w:lineRule="exact"/>
        <w:rPr>
          <w:sz w:val="20"/>
          <w:szCs w:val="20"/>
          <w:color w:val="auto"/>
        </w:rPr>
      </w:pPr>
    </w:p>
    <w:p>
      <w:pPr>
        <w:jc w:val="both"/>
        <w:ind w:left="380" w:right="619" w:firstLine="330"/>
        <w:spacing w:after="0" w:line="313" w:lineRule="auto"/>
        <w:rPr>
          <w:sz w:val="20"/>
          <w:szCs w:val="20"/>
          <w:color w:val="auto"/>
        </w:rPr>
      </w:pPr>
      <w:r>
        <w:rPr>
          <w:rFonts w:ascii="Times New Roman" w:cs="Times New Roman" w:eastAsia="Times New Roman" w:hAnsi="Times New Roman"/>
          <w:sz w:val="12"/>
          <w:szCs w:val="12"/>
          <w:color w:val="auto"/>
        </w:rPr>
        <w:t>(b)  On every date specified in Section 3(k) hereof, Paul Hastings LLP, counsel for the Agent, shall have furnished to the Agent such written opinion or opinions and negative assurance letters, dated as of such date, with respect to such matters as the Agent may reasonably request, and such counsel shall have received such papers and information as they may reasonably request to enable them to pass upon such matters.</w:t>
      </w:r>
    </w:p>
    <w:p>
      <w:pPr>
        <w:spacing w:after="0" w:line="108" w:lineRule="exact"/>
        <w:rPr>
          <w:sz w:val="20"/>
          <w:szCs w:val="20"/>
          <w:color w:val="auto"/>
        </w:rPr>
      </w:pPr>
    </w:p>
    <w:p>
      <w:pPr>
        <w:ind w:left="380" w:right="739" w:firstLine="330"/>
        <w:spacing w:after="0" w:line="345" w:lineRule="auto"/>
        <w:rPr>
          <w:sz w:val="20"/>
          <w:szCs w:val="20"/>
          <w:color w:val="auto"/>
        </w:rPr>
      </w:pPr>
      <w:r>
        <w:rPr>
          <w:rFonts w:ascii="Times New Roman" w:cs="Times New Roman" w:eastAsia="Times New Roman" w:hAnsi="Times New Roman"/>
          <w:sz w:val="12"/>
          <w:szCs w:val="12"/>
          <w:color w:val="auto"/>
        </w:rPr>
        <w:t>(c)  On every date specified in Section 3(k) hereof, Goodwin Procter LLP, counsel for the Company, shall have furnished to the Agent such written opinion or opinions and negative assurance letters, dated as of such date, in form and substance reasonably satisfactory to the Agent.</w:t>
      </w:r>
    </w:p>
    <w:p>
      <w:pPr>
        <w:spacing w:after="0" w:line="90" w:lineRule="exact"/>
        <w:rPr>
          <w:sz w:val="20"/>
          <w:szCs w:val="20"/>
          <w:color w:val="auto"/>
        </w:rPr>
      </w:pPr>
    </w:p>
    <w:p>
      <w:pPr>
        <w:ind w:left="380" w:right="479" w:firstLine="330"/>
        <w:spacing w:after="0" w:line="248" w:lineRule="auto"/>
        <w:rPr>
          <w:sz w:val="20"/>
          <w:szCs w:val="20"/>
          <w:color w:val="auto"/>
        </w:rPr>
      </w:pPr>
      <w:r>
        <w:rPr>
          <w:rFonts w:ascii="Times New Roman" w:cs="Times New Roman" w:eastAsia="Times New Roman" w:hAnsi="Times New Roman"/>
          <w:sz w:val="14"/>
          <w:szCs w:val="14"/>
          <w:color w:val="auto"/>
        </w:rPr>
        <w:t>(d)  On every date specified in Section 3(k) hereof, Clark+Elbing LLP, intellectual property counsel for the Company, or such other legal representative that is familiar with intellectual property matters and is reasonably satisfactory to the Agent, shall have furnished to the Agent such written opinion or opinions and negative assurance letters, dated as of such date, in form and substance reasonably satisfactory to the Agent, containing statements and information of the type ordinarily included in such opinions and negative assurance letters.</w:t>
      </w:r>
    </w:p>
    <w:p>
      <w:pPr>
        <w:spacing w:after="0" w:line="145" w:lineRule="exact"/>
        <w:rPr>
          <w:sz w:val="20"/>
          <w:szCs w:val="20"/>
          <w:color w:val="auto"/>
        </w:rPr>
      </w:pPr>
    </w:p>
    <w:p>
      <w:pPr>
        <w:ind w:left="380" w:right="499" w:firstLine="330"/>
        <w:spacing w:after="0" w:line="245" w:lineRule="auto"/>
        <w:rPr>
          <w:sz w:val="20"/>
          <w:szCs w:val="20"/>
          <w:color w:val="auto"/>
        </w:rPr>
      </w:pPr>
      <w:r>
        <w:rPr>
          <w:rFonts w:ascii="Times New Roman" w:cs="Times New Roman" w:eastAsia="Times New Roman" w:hAnsi="Times New Roman"/>
          <w:sz w:val="14"/>
          <w:szCs w:val="14"/>
          <w:color w:val="auto"/>
        </w:rPr>
        <w:t>(e)  At the dates specified in Section 3(l) hereof, the independent accountants of the Company who have certified the financial statements of the Company and its Subsidiaries included or incorporated by reference in the Registration Statement, the General Disclosure Package and the Prospectus shall have furnished to the Agent a letter dated as of the date of delivery thereof and addressed to the Agent in form and substance reasonably satisfactory to the Agent and its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82" w:name="page83"/>
    <w:bookmarkEnd w:id="82"/>
    <w:p>
      <w:pPr>
        <w:ind w:left="380" w:right="559" w:firstLine="330"/>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(f)  Prior to commencement of the offering of Shares under this Agreement, the Agent shall have received a certificate, signed on behalf of the Company by its corporate Secretary, in form and substance satisfactory to the Agent and its counsel.</w:t>
      </w:r>
    </w:p>
    <w:p>
      <w:pPr>
        <w:spacing w:after="0" w:line="136" w:lineRule="exact"/>
        <w:rPr>
          <w:sz w:val="20"/>
          <w:szCs w:val="20"/>
          <w:color w:val="auto"/>
        </w:rPr>
      </w:pPr>
    </w:p>
    <w:p>
      <w:pPr>
        <w:ind w:left="380" w:right="439" w:firstLine="330"/>
        <w:spacing w:after="0" w:line="288" w:lineRule="auto"/>
        <w:rPr>
          <w:sz w:val="20"/>
          <w:szCs w:val="20"/>
          <w:color w:val="auto"/>
        </w:rPr>
      </w:pPr>
      <w:r>
        <w:rPr>
          <w:rFonts w:ascii="Times New Roman" w:cs="Times New Roman" w:eastAsia="Times New Roman" w:hAnsi="Times New Roman"/>
          <w:sz w:val="12"/>
          <w:szCs w:val="12"/>
          <w:color w:val="auto"/>
        </w:rPr>
        <w:t>(g)  (i) Upon commencement of the offering of Shares under this Agreement and on such other dates as reasonably requested by Agent, the Company will furnish or cause to be furnished promptly to the Agent a certificate of an officer in a form reasonably satisfactory to the Agent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 (ii) on each date specified in Section 3(j), the Agent shall have received a certificate of executive officers of the Company, one of whom shall be the Chief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subject to the qualifications contained therein, except for those which speak solely as of a specific date and (C) the Company has complied in all material respects with all of the agreements entered into in connection with the transaction contemplated herein and satisfied all conditions on its part to be performed or satisfied.</w:t>
      </w:r>
    </w:p>
    <w:p>
      <w:pPr>
        <w:spacing w:after="0" w:line="286" w:lineRule="exact"/>
        <w:rPr>
          <w:sz w:val="20"/>
          <w:szCs w:val="20"/>
          <w:color w:val="auto"/>
        </w:rPr>
      </w:pPr>
    </w:p>
    <w:p>
      <w:pPr>
        <w:ind w:left="380" w:right="419" w:firstLine="330"/>
        <w:spacing w:after="0" w:line="261" w:lineRule="auto"/>
        <w:rPr>
          <w:sz w:val="20"/>
          <w:szCs w:val="20"/>
          <w:color w:val="auto"/>
        </w:rPr>
      </w:pPr>
      <w:r>
        <w:rPr>
          <w:rFonts w:ascii="Times New Roman" w:cs="Times New Roman" w:eastAsia="Times New Roman" w:hAnsi="Times New Roman"/>
          <w:sz w:val="14"/>
          <w:szCs w:val="14"/>
          <w:color w:val="auto"/>
        </w:rPr>
        <w:t>(h)  Since the date of the latest audited financial statements then included or incorporated by reference in the General Disclosure Package and the Prospectus, no Material Adverse Effect shall have occurred.</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(i)   The Company shall have complied with the provisions of Section 3(c) hereof with respect to the timely furnishing of prospectuses.</w:t>
      </w:r>
    </w:p>
    <w:p>
      <w:pPr>
        <w:spacing w:after="0" w:line="163" w:lineRule="exact"/>
        <w:rPr>
          <w:sz w:val="20"/>
          <w:szCs w:val="20"/>
          <w:color w:val="auto"/>
        </w:rPr>
      </w:pPr>
    </w:p>
    <w:p>
      <w:pPr>
        <w:ind w:left="380" w:right="819" w:firstLine="330"/>
        <w:spacing w:after="0" w:line="261" w:lineRule="auto"/>
        <w:rPr>
          <w:sz w:val="20"/>
          <w:szCs w:val="20"/>
          <w:color w:val="auto"/>
        </w:rPr>
      </w:pPr>
      <w:r>
        <w:rPr>
          <w:rFonts w:ascii="Times New Roman" w:cs="Times New Roman" w:eastAsia="Times New Roman" w:hAnsi="Times New Roman"/>
          <w:sz w:val="14"/>
          <w:szCs w:val="14"/>
          <w:color w:val="auto"/>
        </w:rPr>
        <w:t>(j)  On such dates as reasonably requested by the Agent, the Company shall have conducted due diligence sessions, in form and substance reasonably satisfactory to the Agent.</w:t>
      </w:r>
    </w:p>
    <w:p>
      <w:pPr>
        <w:spacing w:after="0" w:line="136" w:lineRule="exact"/>
        <w:rPr>
          <w:sz w:val="20"/>
          <w:szCs w:val="20"/>
          <w:color w:val="auto"/>
        </w:rPr>
      </w:pPr>
    </w:p>
    <w:p>
      <w:pPr>
        <w:ind w:left="380" w:right="499" w:firstLine="330"/>
        <w:spacing w:after="0" w:line="345" w:lineRule="auto"/>
        <w:rPr>
          <w:sz w:val="20"/>
          <w:szCs w:val="20"/>
          <w:color w:val="auto"/>
        </w:rPr>
      </w:pPr>
      <w:r>
        <w:rPr>
          <w:rFonts w:ascii="Times New Roman" w:cs="Times New Roman" w:eastAsia="Times New Roman" w:hAnsi="Times New Roman"/>
          <w:sz w:val="12"/>
          <w:szCs w:val="12"/>
          <w:color w:val="auto"/>
        </w:rPr>
        <w:t>(k)  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(l)   The Shares shall have received approval for listing or quotation on Nasdaq, subject to official notice of issuance, prior to the first Settlement</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80" w:right="379" w:firstLine="330"/>
        <w:spacing w:after="0" w:line="288" w:lineRule="auto"/>
        <w:rPr>
          <w:sz w:val="20"/>
          <w:szCs w:val="20"/>
          <w:color w:val="auto"/>
        </w:rPr>
      </w:pPr>
      <w:r>
        <w:rPr>
          <w:rFonts w:ascii="Times New Roman" w:cs="Times New Roman" w:eastAsia="Times New Roman" w:hAnsi="Times New Roman"/>
          <w:sz w:val="12"/>
          <w:szCs w:val="12"/>
          <w:color w:val="auto"/>
        </w:rPr>
        <w:t>(a)  The Company will indemnify and hold harmless the Agent against any losses, claims, damages or liabilities, joint or several, to which the Agent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Original Prospectus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 for any legal or other expenses reasonably incurred by the Agent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Original Prospectus or the Prospectus, or any amendment or supplement thereto, or any Issuer Free Writing Prospectus, in reliance upon and in strict conformity with written information furnished to the Company by the Agent expressly for use therein.</w:t>
      </w:r>
    </w:p>
    <w:p>
      <w:pPr>
        <w:spacing w:after="0" w:line="289" w:lineRule="exact"/>
        <w:rPr>
          <w:sz w:val="20"/>
          <w:szCs w:val="20"/>
          <w:color w:val="auto"/>
        </w:rPr>
      </w:pPr>
    </w:p>
    <w:p>
      <w:pPr>
        <w:ind w:left="380" w:right="679" w:firstLine="330"/>
        <w:spacing w:after="0" w:line="261" w:lineRule="auto"/>
        <w:rPr>
          <w:sz w:val="20"/>
          <w:szCs w:val="20"/>
          <w:color w:val="auto"/>
        </w:rPr>
      </w:pPr>
      <w:r>
        <w:rPr>
          <w:rFonts w:ascii="Times New Roman" w:cs="Times New Roman" w:eastAsia="Times New Roman" w:hAnsi="Times New Roman"/>
          <w:sz w:val="14"/>
          <w:szCs w:val="14"/>
          <w:color w:val="auto"/>
        </w:rPr>
        <w:t>(b)  The Agent will indemnify and hold harmless the Company against any losses, claims, damages or liabilities to which the Company may become subject, under the 1933 Act or otherwise, insofar as such losses, claims,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8" w:right="1440" w:bottom="1440" w:gutter="0" w:footer="0" w:header="0"/>
        </w:sectPr>
      </w:pPr>
    </w:p>
    <w:bookmarkStart w:id="83" w:name="page84"/>
    <w:bookmarkEnd w:id="83"/>
    <w:p>
      <w:pPr>
        <w:ind w:left="380" w:right="439"/>
        <w:spacing w:after="0" w:line="29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damages or liabilities (or actions in respect thereof) arise out of or are based upon an untrue statement or alleged untrue statement of a material fact contained in the Registration Statement, the Basic Prospectus, the Original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Original Prospectus or the Prospectus, or any such amendment or supplement thereto, or any Issuer Free Writing Prospectus, in reliance upon and in strict conformity with written information furnished to the Company by the Agent expressly for use therein; and will reimburse the Company for any legal or other expenses reasonably incurred by the Company in connection with investigating or defending any such action or claim as such expenses are incurred.</w:t>
      </w:r>
    </w:p>
    <w:p>
      <w:pPr>
        <w:spacing w:after="0" w:line="125" w:lineRule="exact"/>
        <w:rPr>
          <w:sz w:val="20"/>
          <w:szCs w:val="20"/>
          <w:color w:val="auto"/>
        </w:rPr>
      </w:pPr>
    </w:p>
    <w:p>
      <w:pPr>
        <w:ind w:left="380" w:right="379" w:firstLine="330"/>
        <w:spacing w:after="0" w:line="286" w:lineRule="auto"/>
        <w:rPr>
          <w:sz w:val="20"/>
          <w:szCs w:val="20"/>
          <w:color w:val="auto"/>
        </w:rPr>
      </w:pPr>
      <w:r>
        <w:rPr>
          <w:rFonts w:ascii="Times New Roman" w:cs="Times New Roman" w:eastAsia="Times New Roman" w:hAnsi="Times New Roman"/>
          <w:sz w:val="12"/>
          <w:szCs w:val="12"/>
          <w:color w:val="auto"/>
        </w:rPr>
        <w:t>(c)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91" w:lineRule="exact"/>
        <w:rPr>
          <w:sz w:val="20"/>
          <w:szCs w:val="20"/>
          <w:color w:val="auto"/>
        </w:rPr>
      </w:pPr>
    </w:p>
    <w:p>
      <w:pPr>
        <w:ind w:left="380" w:right="399" w:firstLine="330"/>
        <w:spacing w:after="0" w:line="285" w:lineRule="auto"/>
        <w:rPr>
          <w:sz w:val="20"/>
          <w:szCs w:val="20"/>
          <w:color w:val="auto"/>
        </w:rPr>
      </w:pPr>
      <w:r>
        <w:rPr>
          <w:rFonts w:ascii="Times New Roman" w:cs="Times New Roman" w:eastAsia="Times New Roman" w:hAnsi="Times New Roman"/>
          <w:sz w:val="12"/>
          <w:szCs w:val="12"/>
          <w:color w:val="auto"/>
        </w:rPr>
        <w:t>(d)  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or liabilities (or actions in respect thereof),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The relative fault shall be determined by reference to, among other things, whether the untrue or alleged untrue statement of a material fact or the omission or alleged omission to state a material fact relates to information supplied by the Company on the one hand or the Agent on the other and the parties’ relative intent, knowledge, access to information and opportunity to correct or prevent such statement or omission. The Company and the Agent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84" w:name="page85"/>
    <w:bookmarkEnd w:id="84"/>
    <w:p>
      <w:pPr>
        <w:ind w:left="380" w:right="399"/>
        <w:spacing w:after="0" w:line="30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subsection (d), the Agent shall not be required to contribute any amount in excess of the amount by which the total compensation received by the Agent with respect to sales of the Shares sold by it to the public exceeds the amount of any damages which the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116" w:lineRule="exact"/>
        <w:rPr>
          <w:sz w:val="20"/>
          <w:szCs w:val="20"/>
          <w:color w:val="auto"/>
        </w:rPr>
      </w:pPr>
    </w:p>
    <w:p>
      <w:pPr>
        <w:ind w:left="380" w:right="539" w:firstLine="330"/>
        <w:spacing w:after="0" w:line="245" w:lineRule="auto"/>
        <w:rPr>
          <w:sz w:val="20"/>
          <w:szCs w:val="20"/>
          <w:color w:val="auto"/>
        </w:rPr>
      </w:pPr>
      <w:r>
        <w:rPr>
          <w:rFonts w:ascii="Times New Roman" w:cs="Times New Roman" w:eastAsia="Times New Roman" w:hAnsi="Times New Roman"/>
          <w:sz w:val="14"/>
          <w:szCs w:val="14"/>
          <w:color w:val="auto"/>
        </w:rPr>
        <w:t>(e)  The obligations of the Company under this Section 7 shall be in addition to any liability which the Company may otherwise have and shall extend, upon the same terms and conditions, to the directors, officers, employees, attorneys and agents of the Agent and to each person, if any, who controls the Agent within the meaning of the 1933 Act and each broker dealer affiliate of the Agent; and the obligations of the Agent under this Section 7 shall be in addition to any liability which the Agent may otherwise have and shall extend, upon the same terms and conditions, to each director, officer, employee, attorney and agent of the Company and to each person, if any, who controls the Company within the meaning of the 1933 Act.</w:t>
      </w:r>
    </w:p>
    <w:p>
      <w:pPr>
        <w:spacing w:after="0" w:line="149" w:lineRule="exact"/>
        <w:rPr>
          <w:sz w:val="20"/>
          <w:szCs w:val="20"/>
          <w:color w:val="auto"/>
        </w:rPr>
      </w:pPr>
    </w:p>
    <w:p>
      <w:pPr>
        <w:ind w:left="380" w:right="499" w:firstLine="330"/>
        <w:spacing w:after="0" w:line="246" w:lineRule="auto"/>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Representations, Warranties and Agreements to Survive Delivery</w:t>
      </w:r>
      <w:r>
        <w:rPr>
          <w:rFonts w:ascii="Times New Roman" w:cs="Times New Roman" w:eastAsia="Times New Roman" w:hAnsi="Times New Roman"/>
          <w:sz w:val="14"/>
          <w:szCs w:val="14"/>
          <w:color w:val="auto"/>
        </w:rPr>
        <w:t>. The respective indemnities, agreements, representations, warranties and other statements of the Company and the Agent, as set forth in this Agreement or made by or on behalf of them, respectively, pursuant to this Agreement, shall remain in full force and effect, regardless of any investigation (or any statement as to the results thereof) made by or on behalf of the Agent or any controlling person of the Agent, or the Company, or any officer or director or controlling person of the Company, and shall survive delivery of and payment for the Shares.</w:t>
      </w:r>
    </w:p>
    <w:p>
      <w:pPr>
        <w:spacing w:after="0" w:line="148" w:lineRule="exact"/>
        <w:rPr>
          <w:sz w:val="20"/>
          <w:szCs w:val="20"/>
          <w:color w:val="auto"/>
        </w:rPr>
      </w:pPr>
    </w:p>
    <w:p>
      <w:pPr>
        <w:ind w:left="380" w:right="419" w:firstLine="330"/>
        <w:spacing w:after="0" w:line="244" w:lineRule="auto"/>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No Advisory or Fiduciary Relationship</w:t>
      </w:r>
      <w:r>
        <w:rPr>
          <w:rFonts w:ascii="Times New Roman" w:cs="Times New Roman" w:eastAsia="Times New Roman" w:hAnsi="Times New Roman"/>
          <w:sz w:val="14"/>
          <w:szCs w:val="14"/>
          <w:color w:val="auto"/>
        </w:rPr>
        <w:t>. The Company acknowledges and agrees that (i) the Agent is acting solely in the capacity of an arm’s length contractual counterparty to the Company with respect to the offering of Shares contemplated hereby (including in connection with determining the terms of such offering) and (ii) the Agent has not assumed an advisory or fiduciary responsibility in favor of the Company with respect to the offering contemplated hereby or the process leading thereto (irrespective of whether the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 has rendered advisory services of any nature or respect, or owe a fiduciary or similar duty to the Company, in connection with such transaction or the process leading thereto.</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80" w:right="399" w:firstLine="330"/>
        <w:spacing w:after="0" w:line="246" w:lineRule="auto"/>
        <w:rPr>
          <w:sz w:val="20"/>
          <w:szCs w:val="20"/>
          <w:color w:val="auto"/>
        </w:rPr>
      </w:pPr>
      <w:r>
        <w:rPr>
          <w:rFonts w:ascii="Times New Roman" w:cs="Times New Roman" w:eastAsia="Times New Roman" w:hAnsi="Times New Roman"/>
          <w:sz w:val="14"/>
          <w:szCs w:val="14"/>
          <w:color w:val="auto"/>
        </w:rPr>
        <w:t>(a)  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48" w:lineRule="exact"/>
        <w:rPr>
          <w:sz w:val="20"/>
          <w:szCs w:val="20"/>
          <w:color w:val="auto"/>
        </w:rPr>
      </w:pPr>
    </w:p>
    <w:p>
      <w:pPr>
        <w:ind w:left="380" w:right="679" w:firstLine="330"/>
        <w:spacing w:after="0" w:line="251" w:lineRule="auto"/>
        <w:rPr>
          <w:sz w:val="20"/>
          <w:szCs w:val="20"/>
          <w:color w:val="auto"/>
        </w:rPr>
      </w:pPr>
      <w:r>
        <w:rPr>
          <w:rFonts w:ascii="Times New Roman" w:cs="Times New Roman" w:eastAsia="Times New Roman" w:hAnsi="Times New Roman"/>
          <w:sz w:val="14"/>
          <w:szCs w:val="14"/>
          <w:color w:val="auto"/>
        </w:rPr>
        <w:t>(b)  The Agent shall have the right, by giving written notice as hereinafter specified, to terminate this Agreement in its sole discretion at any time.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spacing w:after="0" w:line="143" w:lineRule="exact"/>
        <w:rPr>
          <w:sz w:val="20"/>
          <w:szCs w:val="20"/>
          <w:color w:val="auto"/>
        </w:rPr>
      </w:pPr>
    </w:p>
    <w:p>
      <w:pPr>
        <w:jc w:val="both"/>
        <w:ind w:left="380" w:right="519" w:firstLine="330"/>
        <w:spacing w:after="0" w:line="313" w:lineRule="auto"/>
        <w:rPr>
          <w:sz w:val="20"/>
          <w:szCs w:val="20"/>
          <w:color w:val="auto"/>
        </w:rPr>
      </w:pPr>
      <w:r>
        <w:rPr>
          <w:rFonts w:ascii="Times New Roman" w:cs="Times New Roman" w:eastAsia="Times New Roman" w:hAnsi="Times New Roman"/>
          <w:sz w:val="12"/>
          <w:szCs w:val="12"/>
          <w:color w:val="auto"/>
        </w:rPr>
        <w:t>(c)  Unless earlier terminated pursuant to this Section 10, this Agreement shall automatically terminate upon the issuance and sale of all of the Shares by Stifel Nicolaus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108" w:lineRule="exact"/>
        <w:rPr>
          <w:sz w:val="20"/>
          <w:szCs w:val="20"/>
          <w:color w:val="auto"/>
        </w:rPr>
      </w:pPr>
    </w:p>
    <w:p>
      <w:pPr>
        <w:jc w:val="both"/>
        <w:ind w:left="380" w:right="539" w:firstLine="330"/>
        <w:spacing w:after="0" w:line="313" w:lineRule="auto"/>
        <w:rPr>
          <w:sz w:val="20"/>
          <w:szCs w:val="20"/>
          <w:color w:val="auto"/>
        </w:rPr>
      </w:pPr>
      <w:r>
        <w:rPr>
          <w:rFonts w:ascii="Times New Roman" w:cs="Times New Roman" w:eastAsia="Times New Roman" w:hAnsi="Times New Roman"/>
          <w:sz w:val="12"/>
          <w:szCs w:val="12"/>
          <w:color w:val="auto"/>
        </w:rPr>
        <w:t xml:space="preserve">(d)  This Agreement shall remain in full force and effect until and unless terminated pursuant to Section 10(a), (b) or (c) above or otherwise by mutual agreement of the parties;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termination by mutual agreement or pursuant to this clause (c) shall in all cases be deemed to provide that Section 1, Section 5, Section 7, Section 8, Section 14 and Section 15 of this Agreement shall remain in full force and effect.</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8" w:right="1440" w:bottom="1440" w:gutter="0" w:footer="0" w:header="0"/>
        </w:sectPr>
      </w:pPr>
    </w:p>
    <w:bookmarkStart w:id="85" w:name="page86"/>
    <w:bookmarkEnd w:id="85"/>
    <w:p>
      <w:pPr>
        <w:ind w:left="380" w:right="439" w:firstLine="330"/>
        <w:spacing w:after="0" w:line="31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(e)  Any termination of this Agreement shall be effective on the date specified in such notice of termination;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termination shall not be effective until the close of business on the date of receipt of such notice by the Agent or the Company, as the case may be. If such termination shall occur prior to the Settlement Date for any sale of Shares, such sale shall settle in accordance with the provisions of Section 2(h) hereof.</w:t>
      </w:r>
    </w:p>
    <w:p>
      <w:pPr>
        <w:spacing w:after="0" w:line="108" w:lineRule="exact"/>
        <w:rPr>
          <w:sz w:val="20"/>
          <w:szCs w:val="20"/>
          <w:color w:val="auto"/>
        </w:rPr>
      </w:pPr>
    </w:p>
    <w:p>
      <w:pPr>
        <w:ind w:left="380" w:right="439" w:firstLine="330"/>
        <w:spacing w:after="0" w:line="288" w:lineRule="auto"/>
        <w:rPr>
          <w:sz w:val="20"/>
          <w:szCs w:val="20"/>
          <w:color w:val="auto"/>
        </w:rPr>
      </w:pPr>
      <w:r>
        <w:rPr>
          <w:rFonts w:ascii="Times New Roman" w:cs="Times New Roman" w:eastAsia="Times New Roman" w:hAnsi="Times New Roman"/>
          <w:sz w:val="12"/>
          <w:szCs w:val="12"/>
          <w:color w:val="auto"/>
        </w:rPr>
        <w:t>(f)  In the case of any purchase by the Agent pursuant to a Terms Agreement, the Agent may terminate this Agreement, at any time at or prior to the Settlement Date (i) if there has been, since the time of execution of this Agreement or since the respective dates as of which information is given in the General Disclosure Package or the Prospectus, any Material Adverse Effect, or (ii) if there has occurred any Material Adverse Effect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Shares or to enforce contracts for the sale of Shares, or (iii) if trading in any securities of the Company has been suspended or materially limited by the Commission or Nasdaq, or if trading generally on the American Stock Exchange or the NYSE or Nasdaq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or New York authorities.</w:t>
      </w:r>
    </w:p>
    <w:p>
      <w:pPr>
        <w:spacing w:after="0" w:line="289" w:lineRule="exact"/>
        <w:rPr>
          <w:sz w:val="20"/>
          <w:szCs w:val="20"/>
          <w:color w:val="auto"/>
        </w:rPr>
      </w:pPr>
    </w:p>
    <w:p>
      <w:pPr>
        <w:ind w:left="380" w:right="519" w:firstLine="330"/>
        <w:spacing w:after="0" w:line="261"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statements, requests, notices and agreements hereunder shall be in writing, and if to Stifel Nicolaus shall be delivered or sent by mail, electronic mail, telex or facsimile transmission to:</w:t>
      </w:r>
    </w:p>
    <w:p>
      <w:pPr>
        <w:spacing w:after="0" w:line="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Stifel, Nicolaus &amp; Company, Incorporated</w:t>
      </w:r>
    </w:p>
    <w:p>
      <w:pPr>
        <w:ind w:left="1440"/>
        <w:spacing w:after="0" w:line="184" w:lineRule="auto"/>
        <w:rPr>
          <w:sz w:val="20"/>
          <w:szCs w:val="20"/>
          <w:color w:val="auto"/>
        </w:rPr>
      </w:pPr>
      <w:r>
        <w:rPr>
          <w:rFonts w:ascii="Times New Roman" w:cs="Times New Roman" w:eastAsia="Times New Roman" w:hAnsi="Times New Roman"/>
          <w:sz w:val="14"/>
          <w:szCs w:val="14"/>
          <w:color w:val="auto"/>
        </w:rPr>
        <w:t>787 7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Avenue,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ind w:left="1440"/>
        <w:spacing w:after="0"/>
        <w:rPr>
          <w:sz w:val="20"/>
          <w:szCs w:val="20"/>
          <w:color w:val="auto"/>
        </w:rPr>
      </w:pPr>
      <w:r>
        <w:rPr>
          <w:rFonts w:ascii="Times New Roman" w:cs="Times New Roman" w:eastAsia="Times New Roman" w:hAnsi="Times New Roman"/>
          <w:sz w:val="14"/>
          <w:szCs w:val="14"/>
          <w:color w:val="auto"/>
        </w:rPr>
        <w:t>New York, NY 10019</w:t>
      </w:r>
    </w:p>
    <w:p>
      <w:pPr>
        <w:ind w:left="1440"/>
        <w:spacing w:after="0"/>
        <w:rPr>
          <w:sz w:val="20"/>
          <w:szCs w:val="20"/>
          <w:color w:val="auto"/>
        </w:rPr>
      </w:pPr>
      <w:r>
        <w:rPr>
          <w:rFonts w:ascii="Times New Roman" w:cs="Times New Roman" w:eastAsia="Times New Roman" w:hAnsi="Times New Roman"/>
          <w:sz w:val="14"/>
          <w:szCs w:val="14"/>
          <w:color w:val="auto"/>
        </w:rPr>
        <w:t>Attention: Syndicate Department</w:t>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with a copy to:</w:t>
      </w:r>
    </w:p>
    <w:p>
      <w:pPr>
        <w:spacing w:after="0" w:line="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Paul Hastings LLP</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MetLife Building</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200 Park Avenue</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New York, New York 10166</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Facsimile: (212) 319-4090</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Attention: Siavosh Salimi and Will Magioncalda</w:t>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and if to the Company to:</w:t>
      </w:r>
    </w:p>
    <w:p>
      <w:pPr>
        <w:spacing w:after="0" w:line="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PepGen Inc.</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321 Harrison Avenue, 8th Floor</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Boston, Massachusetts 02118</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Email: jmcarthur@pepgen.com</w:t>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with a copy to:</w:t>
      </w:r>
    </w:p>
    <w:p>
      <w:pPr>
        <w:spacing w:after="0" w:line="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Goodwin Procter LLP</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The New York Times Building</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620 Eighth Avenue (between 40th and 41st)</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New York, New York 10018</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Facsimile: (212) 355-3333</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Attention: Finnbarr Murphy and Edwin O’Connor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8" w:right="1440" w:bottom="1440" w:gutter="0" w:footer="0" w:header="0"/>
        </w:sectPr>
      </w:pPr>
    </w:p>
    <w:bookmarkStart w:id="86" w:name="page87"/>
    <w:bookmarkEnd w:id="86"/>
    <w:p>
      <w:pPr>
        <w:ind w:left="7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Any such statements, requests, notices or agreements shall take effect upon receipt thereof.</w:t>
      </w:r>
    </w:p>
    <w:p>
      <w:pPr>
        <w:spacing w:after="0" w:line="163" w:lineRule="exact"/>
        <w:rPr>
          <w:sz w:val="20"/>
          <w:szCs w:val="20"/>
          <w:color w:val="auto"/>
        </w:rPr>
      </w:pPr>
    </w:p>
    <w:p>
      <w:pPr>
        <w:ind w:left="380" w:right="479" w:firstLine="330"/>
        <w:spacing w:after="0" w:line="246"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This Agreement shall be binding upon, and inure solely to the benefit of, the Agent and the Company and, to the extent provided in Sections 7 and 8 hereof, the officers, directors, employees, attorneys and agents of the Company and the Agent and each person who controls the Company or the Agent, and their respective heirs, executors, administrators, successors and assigns, and no other person shall acquire or have any right under or by virtue of this Agreement. No purchaser of Shares through the Agent shall be deemed a successor or assign by reason merely of such purchase.</w:t>
      </w:r>
    </w:p>
    <w:p>
      <w:pPr>
        <w:spacing w:after="0" w:line="148" w:lineRule="exact"/>
        <w:rPr>
          <w:sz w:val="20"/>
          <w:szCs w:val="20"/>
          <w:color w:val="auto"/>
        </w:rPr>
      </w:pPr>
    </w:p>
    <w:p>
      <w:pPr>
        <w:ind w:left="380" w:right="699" w:firstLine="330"/>
        <w:spacing w:after="0" w:line="261"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Time of the Essence</w:t>
      </w:r>
      <w:r>
        <w:rPr>
          <w:rFonts w:ascii="Times New Roman" w:cs="Times New Roman" w:eastAsia="Times New Roman" w:hAnsi="Times New Roman"/>
          <w:sz w:val="14"/>
          <w:szCs w:val="14"/>
          <w:color w:val="auto"/>
        </w:rPr>
        <w:t>. Time shall be of the essence of this Agreement. As used herein, the term “business day” shall mean any day when the Commission’s office in Washington, D.C. is open for business.</w:t>
      </w:r>
    </w:p>
    <w:p>
      <w:pPr>
        <w:spacing w:after="0" w:line="136" w:lineRule="exact"/>
        <w:rPr>
          <w:sz w:val="20"/>
          <w:szCs w:val="20"/>
          <w:color w:val="auto"/>
        </w:rPr>
      </w:pPr>
    </w:p>
    <w:p>
      <w:pPr>
        <w:ind w:left="380" w:right="419" w:firstLine="330"/>
        <w:spacing w:after="0" w:line="261"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The Company and the Agent hereby irrevocably waive, to the fullest extent permitted by applicable law, any and all right to jury trial by jury in any legal proceeding arising out of or relating to this Agreement or the transactions contemplated hereby.</w:t>
      </w:r>
    </w:p>
    <w:p>
      <w:pPr>
        <w:spacing w:after="0" w:line="136" w:lineRule="exact"/>
        <w:rPr>
          <w:sz w:val="20"/>
          <w:szCs w:val="20"/>
          <w:color w:val="auto"/>
        </w:rPr>
      </w:pPr>
    </w:p>
    <w:p>
      <w:pPr>
        <w:ind w:left="380" w:right="519" w:firstLine="330"/>
        <w:spacing w:after="0" w:line="261"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LAWS OF THE STATE OF NEW YORK WITHOUT REFERENCE TO ITS PRINCIPLES OF CONFLICTS OF LAW.</w:t>
      </w:r>
    </w:p>
    <w:p>
      <w:pPr>
        <w:spacing w:after="0" w:line="136" w:lineRule="exact"/>
        <w:rPr>
          <w:sz w:val="20"/>
          <w:szCs w:val="20"/>
          <w:color w:val="auto"/>
        </w:rPr>
      </w:pPr>
    </w:p>
    <w:p>
      <w:pPr>
        <w:ind w:left="380" w:right="379" w:firstLine="330"/>
        <w:spacing w:after="0" w:line="244"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Consent to Jurisdiction; Waiver of Immunity</w:t>
      </w:r>
      <w:r>
        <w:rPr>
          <w:rFonts w:ascii="Times New Roman" w:cs="Times New Roman" w:eastAsia="Times New Roman" w:hAnsi="Times New Roman"/>
          <w:sz w:val="14"/>
          <w:szCs w:val="14"/>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4"/>
          <w:szCs w:val="14"/>
          <w:u w:val="single" w:color="auto"/>
          <w:color w:val="auto"/>
        </w:rPr>
        <w:t>Specified Courts</w:t>
      </w:r>
      <w:r>
        <w:rPr>
          <w:rFonts w:ascii="Times New Roman" w:cs="Times New Roman" w:eastAsia="Times New Roman" w:hAnsi="Times New Roman"/>
          <w:sz w:val="14"/>
          <w:szCs w:val="14"/>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48" w:lineRule="exact"/>
        <w:rPr>
          <w:sz w:val="20"/>
          <w:szCs w:val="20"/>
          <w:color w:val="auto"/>
        </w:rPr>
      </w:pPr>
    </w:p>
    <w:p>
      <w:pPr>
        <w:ind w:left="380" w:right="399" w:firstLine="330"/>
        <w:spacing w:after="0" w:line="245"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and any Terms Agreement may be executed in two or more counterparts, each of which shall be deemed an original, but all of which together shall constitute one and the same instrument. Delivery of an executed Agreement or Terms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9" w:lineRule="exact"/>
        <w:rPr>
          <w:sz w:val="20"/>
          <w:szCs w:val="20"/>
          <w:color w:val="auto"/>
        </w:rPr>
      </w:pPr>
    </w:p>
    <w:p>
      <w:pPr>
        <w:ind w:left="380" w:right="399" w:firstLine="330"/>
        <w:spacing w:after="0" w:line="288" w:lineRule="auto"/>
        <w:rPr>
          <w:sz w:val="20"/>
          <w:szCs w:val="20"/>
          <w:color w:val="auto"/>
        </w:rPr>
      </w:pPr>
      <w:r>
        <w:rPr>
          <w:rFonts w:ascii="Times New Roman" w:cs="Times New Roman" w:eastAsia="Times New Roman" w:hAnsi="Times New Roman"/>
          <w:sz w:val="12"/>
          <w:szCs w:val="12"/>
          <w:color w:val="auto"/>
        </w:rPr>
        <w:t xml:space="preserve">Section 18. </w:t>
      </w:r>
      <w:r>
        <w:rPr>
          <w:rFonts w:ascii="Times New Roman" w:cs="Times New Roman" w:eastAsia="Times New Roman" w:hAnsi="Times New Roman"/>
          <w:sz w:val="12"/>
          <w:szCs w:val="12"/>
          <w:u w:val="single" w:color="auto"/>
          <w:color w:val="auto"/>
        </w:rPr>
        <w:t>Recognition of U.S. Special Resolutions Regimes</w:t>
      </w:r>
      <w:r>
        <w:rPr>
          <w:rFonts w:ascii="Times New Roman" w:cs="Times New Roman" w:eastAsia="Times New Roman" w:hAnsi="Times New Roman"/>
          <w:sz w:val="12"/>
          <w:szCs w:val="12"/>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12"/>
          <w:szCs w:val="12"/>
          <w:u w:val="single" w:color="auto"/>
          <w:color w:val="auto"/>
        </w:rPr>
        <w:t>BHC Act Affiliate</w:t>
      </w:r>
      <w:r>
        <w:rPr>
          <w:rFonts w:ascii="Times New Roman" w:cs="Times New Roman" w:eastAsia="Times New Roman" w:hAnsi="Times New Roman"/>
          <w:sz w:val="12"/>
          <w:szCs w:val="12"/>
          <w:color w:val="auto"/>
        </w:rPr>
        <w:t>” has the meaning assigned to the term “affiliate” in, and shall be interpreted in accordance with, 12 U.S.C. § 1841(k); (B) “</w:t>
      </w:r>
      <w:r>
        <w:rPr>
          <w:rFonts w:ascii="Times New Roman" w:cs="Times New Roman" w:eastAsia="Times New Roman" w:hAnsi="Times New Roman"/>
          <w:sz w:val="12"/>
          <w:szCs w:val="12"/>
          <w:u w:val="single" w:color="auto"/>
          <w:color w:val="auto"/>
        </w:rPr>
        <w:t>Covered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Entity</w:t>
      </w:r>
      <w:r>
        <w:rPr>
          <w:rFonts w:ascii="Times New Roman" w:cs="Times New Roman" w:eastAsia="Times New Roman" w:hAnsi="Times New Roman"/>
          <w:sz w:val="12"/>
          <w:szCs w:val="1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2"/>
          <w:szCs w:val="12"/>
          <w:u w:val="single" w:color="auto"/>
          <w:color w:val="auto"/>
        </w:rPr>
        <w:t>Default Right</w:t>
      </w:r>
      <w:r>
        <w:rPr>
          <w:rFonts w:ascii="Times New Roman" w:cs="Times New Roman" w:eastAsia="Times New Roman" w:hAnsi="Times New Roman"/>
          <w:sz w:val="12"/>
          <w:szCs w:val="12"/>
          <w:color w:val="auto"/>
        </w:rPr>
        <w:t>” has the meaning</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8" w:right="1440" w:bottom="1440" w:gutter="0" w:footer="0" w:header="0"/>
        </w:sectPr>
      </w:pPr>
    </w:p>
    <w:bookmarkStart w:id="87" w:name="page88"/>
    <w:bookmarkEnd w:id="87"/>
    <w:p>
      <w:pPr>
        <w:jc w:val="both"/>
        <w:ind w:left="380" w:right="4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assigned to that term in, and shall be interpreted in accordance with, 12 C.F.R. §§ 252.81, 47.2 or 382.1, as applicable; and (D) “</w:t>
      </w:r>
      <w:r>
        <w:rPr>
          <w:rFonts w:ascii="Times New Roman" w:cs="Times New Roman" w:eastAsia="Times New Roman" w:hAnsi="Times New Roman"/>
          <w:sz w:val="14"/>
          <w:szCs w:val="14"/>
          <w:u w:val="single" w:color="auto"/>
          <w:color w:val="auto"/>
        </w:rPr>
        <w:t>U.S. Special Resolution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Regime</w:t>
      </w:r>
      <w:r>
        <w:rPr>
          <w:rFonts w:ascii="Times New Roman" w:cs="Times New Roman" w:eastAsia="Times New Roman" w:hAnsi="Times New Roman"/>
          <w:sz w:val="14"/>
          <w:szCs w:val="14"/>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3" w:lineRule="exact"/>
        <w:rPr>
          <w:sz w:val="20"/>
          <w:szCs w:val="20"/>
          <w:color w:val="auto"/>
        </w:rPr>
      </w:pPr>
    </w:p>
    <w:p>
      <w:pPr>
        <w:ind w:left="380" w:right="439" w:firstLine="330"/>
        <w:spacing w:after="0" w:line="248"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5" w:lineRule="exact"/>
        <w:rPr>
          <w:sz w:val="20"/>
          <w:szCs w:val="20"/>
          <w:color w:val="auto"/>
        </w:rPr>
      </w:pPr>
    </w:p>
    <w:p>
      <w:pPr>
        <w:ind w:left="380" w:right="579" w:firstLine="330"/>
        <w:spacing w:after="0" w:line="251" w:lineRule="auto"/>
        <w:rPr>
          <w:sz w:val="20"/>
          <w:szCs w:val="20"/>
          <w:color w:val="auto"/>
        </w:rPr>
      </w:pPr>
      <w:r>
        <w:rPr>
          <w:rFonts w:ascii="Times New Roman" w:cs="Times New Roman" w:eastAsia="Times New Roman" w:hAnsi="Times New Roman"/>
          <w:sz w:val="14"/>
          <w:szCs w:val="14"/>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88" w:name="page89"/>
    <w:bookmarkEnd w:id="88"/>
    <w:p>
      <w:pPr>
        <w:ind w:left="5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Very truly yours,</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PEPGEN INC.</w:t>
      </w:r>
    </w:p>
    <w:p>
      <w:pPr>
        <w:spacing w:after="0" w:line="3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James McArthur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8890</wp:posOffset>
            </wp:positionV>
            <wp:extent cx="192341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1923415" cy="6350"/>
                    </a:xfrm>
                    <a:prstGeom prst="rect">
                      <a:avLst/>
                    </a:prstGeom>
                    <a:noFill/>
                  </pic:spPr>
                </pic:pic>
              </a:graphicData>
            </a:graphic>
          </wp:anchor>
        </w:drawing>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Name: James McArthur</w:t>
      </w:r>
    </w:p>
    <w:p>
      <w:pPr>
        <w:spacing w:after="0" w:line="13"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Accepted as of the date hereof:</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STIFEL, NICOLAUS &amp; COMPANY, INCORPORATED</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By: /s/ Seth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192341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1923415" cy="6350"/>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Name: Seth Rubin</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Title: Head of Global Equity Capital Markets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Schedule 1</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Notice Parties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The Company</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James McArthur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Noel Donnelly</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Joseph Vittiglio</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The Agent</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Daniel Covatta</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Mark White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4" w:right="1440" w:bottom="1440" w:gutter="0" w:footer="0" w:header="0"/>
        </w:sectPr>
      </w:pPr>
    </w:p>
    <w:bookmarkStart w:id="90" w:name="page91"/>
    <w:bookmarkEnd w:id="90"/>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Annex 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PEPGEN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Common Stock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TERMS AGREEMENT</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STIFEL, NICOLAUS &amp; COMPANY, INCORPORATED</w:t>
      </w:r>
    </w:p>
    <w:p>
      <w:pPr>
        <w:ind w:left="380"/>
        <w:spacing w:after="0" w:line="184" w:lineRule="auto"/>
        <w:rPr>
          <w:sz w:val="20"/>
          <w:szCs w:val="20"/>
          <w:color w:val="auto"/>
        </w:rPr>
      </w:pPr>
      <w:r>
        <w:rPr>
          <w:rFonts w:ascii="Times New Roman" w:cs="Times New Roman" w:eastAsia="Times New Roman" w:hAnsi="Times New Roman"/>
          <w:sz w:val="14"/>
          <w:szCs w:val="14"/>
          <w:color w:val="auto"/>
        </w:rPr>
        <w:t>787 7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Avenue,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ind w:left="38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Attn: Syndicate Department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3" w:lineRule="exact"/>
        <w:rPr>
          <w:sz w:val="20"/>
          <w:szCs w:val="20"/>
          <w:color w:val="auto"/>
        </w:rPr>
      </w:pPr>
    </w:p>
    <w:p>
      <w:pPr>
        <w:ind w:left="380" w:right="499" w:firstLine="330"/>
        <w:spacing w:after="0" w:line="246" w:lineRule="auto"/>
        <w:rPr>
          <w:sz w:val="20"/>
          <w:szCs w:val="20"/>
          <w:color w:val="auto"/>
        </w:rPr>
      </w:pPr>
      <w:r>
        <w:rPr>
          <w:rFonts w:ascii="Times New Roman" w:cs="Times New Roman" w:eastAsia="Times New Roman" w:hAnsi="Times New Roman"/>
          <w:sz w:val="14"/>
          <w:szCs w:val="14"/>
          <w:color w:val="auto"/>
        </w:rPr>
        <w:t>PepGen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proposes, subject to the terms and conditions stated herein and in the At-the-Market Equity Offering Sales Agreement, dated May 18, 2026 (the “</w:t>
      </w:r>
      <w:r>
        <w:rPr>
          <w:rFonts w:ascii="Times New Roman" w:cs="Times New Roman" w:eastAsia="Times New Roman" w:hAnsi="Times New Roman"/>
          <w:sz w:val="14"/>
          <w:szCs w:val="14"/>
          <w:u w:val="single" w:color="auto"/>
          <w:color w:val="auto"/>
        </w:rPr>
        <w:t>Sales Agreement</w:t>
      </w:r>
      <w:r>
        <w:rPr>
          <w:rFonts w:ascii="Times New Roman" w:cs="Times New Roman" w:eastAsia="Times New Roman" w:hAnsi="Times New Roman"/>
          <w:sz w:val="14"/>
          <w:szCs w:val="14"/>
          <w:color w:val="auto"/>
        </w:rPr>
        <w:t>”), between the Company and Stifel, Nicolaus &amp; Company, Incorporated (the “</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to issue and sell to the Agent the securities specified in the Schedule hereto (the “</w:t>
      </w:r>
      <w:r>
        <w:rPr>
          <w:rFonts w:ascii="Times New Roman" w:cs="Times New Roman" w:eastAsia="Times New Roman" w:hAnsi="Times New Roman"/>
          <w:sz w:val="14"/>
          <w:szCs w:val="14"/>
          <w:u w:val="single" w:color="auto"/>
          <w:color w:val="auto"/>
        </w:rPr>
        <w:t>Purchased Securities</w:t>
      </w:r>
      <w:r>
        <w:rPr>
          <w:rFonts w:ascii="Times New Roman" w:cs="Times New Roman" w:eastAsia="Times New Roman" w:hAnsi="Times New Roman"/>
          <w:sz w:val="14"/>
          <w:szCs w:val="14"/>
          <w:color w:val="auto"/>
        </w:rPr>
        <w:t>”) [, and solely for the purpose of covering over-allotments, to grant to the Agent the option to purchase the additional securities specified in the Schedule hereto (the “</w:t>
      </w:r>
      <w:r>
        <w:rPr>
          <w:rFonts w:ascii="Times New Roman" w:cs="Times New Roman" w:eastAsia="Times New Roman" w:hAnsi="Times New Roman"/>
          <w:sz w:val="14"/>
          <w:szCs w:val="14"/>
          <w:u w:val="single" w:color="auto"/>
          <w:color w:val="auto"/>
        </w:rPr>
        <w:t>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380" w:right="379" w:firstLine="330"/>
        <w:spacing w:after="0" w:line="244" w:lineRule="auto"/>
        <w:rPr>
          <w:sz w:val="20"/>
          <w:szCs w:val="20"/>
          <w:color w:val="auto"/>
        </w:rPr>
      </w:pPr>
      <w:r>
        <w:rPr>
          <w:rFonts w:ascii="Times New Roman" w:cs="Times New Roman" w:eastAsia="Times New Roman" w:hAnsi="Times New Roman"/>
          <w:sz w:val="14"/>
          <w:szCs w:val="14"/>
          <w:color w:val="auto"/>
        </w:rPr>
        <w:t>[The Agent shall have the right to purchase from the Company all or a portion of the Additional Securities as may be necessary to cover over-allotments made in connection with the offering of the Purchased Securities, at the same purchase price per share to be paid by the Agent to the Company for the Purchased Securities. This option may be exercised by the Agent at any time (but not more than once) on or before the thirtieth day following the date hereof, by written notice to the Company. Such notice shall set forth the aggregate number of shares of Additional Securities as to which the option is being exercised, and the date and time when the Additional Securities are to be delivered (such date and time being herein referred to as the “</w:t>
      </w:r>
      <w:r>
        <w:rPr>
          <w:rFonts w:ascii="Times New Roman" w:cs="Times New Roman" w:eastAsia="Times New Roman" w:hAnsi="Times New Roman"/>
          <w:sz w:val="14"/>
          <w:szCs w:val="14"/>
          <w:u w:val="single" w:color="auto"/>
          <w:color w:val="auto"/>
        </w:rPr>
        <w:t>Option Closing Date</w:t>
      </w:r>
      <w:r>
        <w:rPr>
          <w:rFonts w:ascii="Times New Roman" w:cs="Times New Roman" w:eastAsia="Times New Roman" w:hAnsi="Times New Roman"/>
          <w:sz w:val="14"/>
          <w:szCs w:val="14"/>
          <w:color w:val="auto"/>
        </w:rPr>
        <w:t>”); provided, however, that the Option Closing Date shall not be earlier than the Time of Delivery (as set forth in the Schedule hereto) nor earlier than the first business day after the date on which the option shall have been exercised nor later than the fifth business day after the date on which the option shall have been exercised. Payment of the purchase price for the Additional Securities shall be made at the Option Closing Date in the same manner and at the same office as the payment for the Purchased Securities.]*</w:t>
      </w:r>
    </w:p>
    <w:p>
      <w:pPr>
        <w:spacing w:after="0" w:line="148" w:lineRule="exact"/>
        <w:rPr>
          <w:sz w:val="20"/>
          <w:szCs w:val="20"/>
          <w:color w:val="auto"/>
        </w:rPr>
      </w:pPr>
    </w:p>
    <w:p>
      <w:pPr>
        <w:ind w:left="380" w:right="399" w:firstLine="330"/>
        <w:spacing w:after="0" w:line="244" w:lineRule="auto"/>
        <w:rPr>
          <w:sz w:val="20"/>
          <w:szCs w:val="20"/>
          <w:color w:val="auto"/>
        </w:rPr>
      </w:pPr>
      <w:r>
        <w:rPr>
          <w:rFonts w:ascii="Times New Roman" w:cs="Times New Roman" w:eastAsia="Times New Roman" w:hAnsi="Times New Roman"/>
          <w:sz w:val="14"/>
          <w:szCs w:val="14"/>
          <w:color w:val="auto"/>
        </w:rPr>
        <w:t>Each of the provisions of the Sales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Applicable Time [and any Option Closing Date]*, except that each representation and warranty in Section 1 of the Sales Agreement which makes reference to the Prospectus (as therein defined) shall be deemed to be a representation and warranty as of the date of the Sales Agreement in relation to the Prospectus, and also a representation and warranty as of the date of this Terms Agreement [and] [,] the Settlement Date [and any Option Closing Date]* in relation to the Prospectus as amended and supplemented to relate to the Purchased Securities. The Company will not be required to pay, or cause to be paid, any fees and disbursements of the Agent’s counsel in respect of any purchases by the Agents of Additional Securities as principal.</w:t>
      </w:r>
    </w:p>
    <w:p>
      <w:pPr>
        <w:spacing w:after="0" w:line="148" w:lineRule="exact"/>
        <w:rPr>
          <w:sz w:val="20"/>
          <w:szCs w:val="20"/>
          <w:color w:val="auto"/>
        </w:rPr>
      </w:pPr>
    </w:p>
    <w:p>
      <w:pPr>
        <w:ind w:left="380" w:right="399" w:firstLine="330"/>
        <w:spacing w:after="0" w:line="251" w:lineRule="auto"/>
        <w:rPr>
          <w:sz w:val="20"/>
          <w:szCs w:val="20"/>
          <w:color w:val="auto"/>
        </w:rPr>
      </w:pPr>
      <w:r>
        <w:rPr>
          <w:rFonts w:ascii="Times New Roman" w:cs="Times New Roman" w:eastAsia="Times New Roman" w:hAnsi="Times New Roman"/>
          <w:sz w:val="14"/>
          <w:szCs w:val="14"/>
          <w:color w:val="auto"/>
        </w:rPr>
        <w:t>An amendment to the Registration Statement (as defined in the Sales Agreement), or a supplement to the Prospectus, as the case may be, relating to the Purchased Securities [and the Additional Securities]*, in the form heretofore delivered to the Agent is now proposed to be filed with the Securities and Exchange Commission.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4" w:right="1440" w:bottom="1440" w:gutter="0" w:footer="0" w:header="0"/>
        </w:sectPr>
      </w:pPr>
    </w:p>
    <w:bookmarkStart w:id="91" w:name="page92"/>
    <w:bookmarkEnd w:id="91"/>
    <w:p>
      <w:pPr>
        <w:ind w:left="380" w:right="379" w:firstLine="330"/>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Subject to the terms and conditions set forth herein and in the Sales Agreement which are incorporated herein by reference, the Company agrees to issue and sell to the Agent and the latter agrees to purchase from the Company the number of shares of the Purchased Securities at the time and place and at the purchase price set forth in the Schedule hereto.</w:t>
      </w:r>
    </w:p>
    <w:p>
      <w:pPr>
        <w:spacing w:after="0" w:line="143" w:lineRule="exact"/>
        <w:rPr>
          <w:sz w:val="20"/>
          <w:szCs w:val="20"/>
          <w:color w:val="auto"/>
        </w:rPr>
      </w:pPr>
    </w:p>
    <w:p>
      <w:pPr>
        <w:ind w:left="380" w:right="579" w:firstLine="330"/>
        <w:spacing w:after="0" w:line="251" w:lineRule="auto"/>
        <w:rPr>
          <w:sz w:val="20"/>
          <w:szCs w:val="20"/>
          <w:color w:val="auto"/>
        </w:rPr>
      </w:pPr>
      <w:r>
        <w:rPr>
          <w:rFonts w:ascii="Times New Roman" w:cs="Times New Roman" w:eastAsia="Times New Roman" w:hAnsi="Times New Roman"/>
          <w:sz w:val="14"/>
          <w:szCs w:val="14"/>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PEPGEN INC.</w:t>
      </w:r>
    </w:p>
    <w:p>
      <w:pPr>
        <w:spacing w:after="0" w:line="3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8890</wp:posOffset>
            </wp:positionV>
            <wp:extent cx="182054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1820545" cy="635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 James McArthur</w:t>
      </w:r>
    </w:p>
    <w:p>
      <w:pPr>
        <w:spacing w:after="0" w:line="13"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Accepted as of the date hereof:</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STIFEL, NICOLAUS &amp; COMPANY, INCORPORATED</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8890</wp:posOffset>
            </wp:positionV>
            <wp:extent cx="190436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1904365" cy="635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Name: Seth Rubin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Title: Head of Global Equity Capital Markets</w:t>
      </w:r>
    </w:p>
    <w:p>
      <w:pPr>
        <w:spacing w:after="0" w:line="171" w:lineRule="exact"/>
        <w:rPr>
          <w:sz w:val="20"/>
          <w:szCs w:val="20"/>
          <w:color w:val="auto"/>
        </w:rPr>
      </w:pPr>
    </w:p>
    <w:p>
      <w:pPr>
        <w:ind w:left="700" w:hanging="329"/>
        <w:spacing w:after="0"/>
        <w:tabs>
          <w:tab w:leader="none" w:pos="7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only if the Agent has an over-allotment option.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92" w:name="page93"/>
    <w:bookmarkEnd w:id="92"/>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May 18, 2026</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PepGen Inc.</w:t>
      </w:r>
    </w:p>
    <w:p>
      <w:pPr>
        <w:ind w:left="380"/>
        <w:spacing w:after="0" w:line="184" w:lineRule="auto"/>
        <w:rPr>
          <w:sz w:val="20"/>
          <w:szCs w:val="20"/>
          <w:color w:val="auto"/>
        </w:rPr>
      </w:pPr>
      <w:r>
        <w:rPr>
          <w:rFonts w:ascii="Times New Roman" w:cs="Times New Roman" w:eastAsia="Times New Roman" w:hAnsi="Times New Roman"/>
          <w:sz w:val="14"/>
          <w:szCs w:val="14"/>
          <w:color w:val="auto"/>
        </w:rPr>
        <w:t>321 Harrison Ave,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ind w:left="380"/>
        <w:spacing w:after="0"/>
        <w:rPr>
          <w:sz w:val="20"/>
          <w:szCs w:val="20"/>
          <w:color w:val="auto"/>
        </w:rPr>
      </w:pPr>
      <w:r>
        <w:rPr>
          <w:rFonts w:ascii="Times New Roman" w:cs="Times New Roman" w:eastAsia="Times New Roman" w:hAnsi="Times New Roman"/>
          <w:sz w:val="14"/>
          <w:szCs w:val="14"/>
          <w:color w:val="auto"/>
        </w:rPr>
        <w:t>Boston, MA 02118</w:t>
      </w:r>
    </w:p>
    <w:p>
      <w:pPr>
        <w:spacing w:after="0" w:line="170"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2"/>
          <w:szCs w:val="12"/>
          <w:u w:val="single" w:color="auto"/>
          <w:color w:val="auto"/>
        </w:rPr>
        <w:t>Securities Being Registered under Registration Statement on Form S-3</w:t>
      </w:r>
    </w:p>
    <w:p>
      <w:pPr>
        <w:spacing w:after="0" w:line="163" w:lineRule="exact"/>
        <w:rPr>
          <w:sz w:val="20"/>
          <w:szCs w:val="20"/>
          <w:color w:val="auto"/>
        </w:rPr>
      </w:pPr>
    </w:p>
    <w:p>
      <w:pPr>
        <w:ind w:left="380" w:right="399"/>
        <w:spacing w:after="0" w:line="287" w:lineRule="auto"/>
        <w:rPr>
          <w:sz w:val="20"/>
          <w:szCs w:val="20"/>
          <w:color w:val="auto"/>
        </w:rPr>
      </w:pPr>
      <w:r>
        <w:rPr>
          <w:rFonts w:ascii="Times New Roman" w:cs="Times New Roman" w:eastAsia="Times New Roman" w:hAnsi="Times New Roman"/>
          <w:sz w:val="12"/>
          <w:szCs w:val="12"/>
          <w:color w:val="auto"/>
        </w:rPr>
        <w:t>We have acted as counsel to you in connection with your filing of a Registration Statement on Form S-3 (as amended or supplemented, the “Registration Statement”) pursuant to the Securities Act of 1933, as amended (the “Securities Act”), relating to the offering by PepGen Inc., a Delaware corporation (the “Company”), of up to $400,000,000 of any combination of (i) the Company’s common stock, par value $0.0001 per share (“Common Stock”), (ii) the Company’s preferred stock, par value $0.0001 per share (“Preferred Stock”), (iii) the Company’s debt securities (“Debt Securities”),</w:t>
      </w:r>
    </w:p>
    <w:p>
      <w:pPr>
        <w:spacing w:after="0" w:line="1" w:lineRule="exact"/>
        <w:rPr>
          <w:sz w:val="20"/>
          <w:szCs w:val="20"/>
          <w:color w:val="auto"/>
        </w:rPr>
      </w:pPr>
    </w:p>
    <w:p>
      <w:pPr>
        <w:ind w:left="380" w:right="379" w:hanging="9"/>
        <w:spacing w:after="0" w:line="290" w:lineRule="auto"/>
        <w:tabs>
          <w:tab w:leader="none" w:pos="609"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warrants to purchase Common Stock, Preferred Stock, Debt Securities or Units (as defined below ) (“Warrants”),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22" w:lineRule="exact"/>
        <w:rPr>
          <w:sz w:val="20"/>
          <w:szCs w:val="20"/>
          <w:color w:val="auto"/>
        </w:rPr>
      </w:pPr>
    </w:p>
    <w:p>
      <w:pPr>
        <w:ind w:left="380" w:right="659"/>
        <w:spacing w:after="0" w:line="251"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opinions set forth below are limited to the Delaware General Corporation Law and the law of New York.</w:t>
      </w:r>
    </w:p>
    <w:p>
      <w:pPr>
        <w:spacing w:after="0" w:line="163" w:lineRule="exact"/>
        <w:rPr>
          <w:sz w:val="20"/>
          <w:szCs w:val="20"/>
          <w:color w:val="auto"/>
        </w:rPr>
      </w:pPr>
    </w:p>
    <w:p>
      <w:pPr>
        <w:ind w:left="380" w:right="459"/>
        <w:spacing w:after="0" w:line="244" w:lineRule="auto"/>
        <w:rPr>
          <w:sz w:val="20"/>
          <w:szCs w:val="20"/>
          <w:color w:val="auto"/>
        </w:rPr>
      </w:pPr>
      <w:r>
        <w:rPr>
          <w:rFonts w:ascii="Times New Roman" w:cs="Times New Roman" w:eastAsia="Times New Roman" w:hAnsi="Times New Roman"/>
          <w:sz w:val="14"/>
          <w:szCs w:val="14"/>
          <w:color w:val="auto"/>
        </w:rPr>
        <w:t>For purposes of the opinions set forth below, without limiting any other exceptions or qualifications set forth herein, we have assumed that (i) each of the Debt Securities, Warrants and Units and Purchase Contract Agreements,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ectPr>
          <w:pgSz w:w="11900" w:h="16838" w:orient="portrait"/>
          <w:cols w:equalWidth="0" w:num="1">
            <w:col w:w="9019"/>
          </w:cols>
          <w:pgMar w:left="1440" w:top="123" w:right="1440" w:bottom="1440" w:gutter="0" w:footer="0" w:header="0"/>
        </w:sectPr>
      </w:pPr>
    </w:p>
    <w:bookmarkStart w:id="93" w:name="page94"/>
    <w:bookmarkEnd w:id="93"/>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PepGen Inc.</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May 18, 2026</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Page 2</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purposes of the opinions set forth below, we refer to the following as the “Future Approval and Issuance” of Securities:</w:t>
      </w:r>
    </w:p>
    <w:p>
      <w:pPr>
        <w:spacing w:after="0" w:line="92" w:lineRule="exact"/>
        <w:rPr>
          <w:sz w:val="20"/>
          <w:szCs w:val="20"/>
          <w:color w:val="auto"/>
        </w:rPr>
      </w:pPr>
    </w:p>
    <w:p>
      <w:pPr>
        <w:ind w:left="1440" w:right="499" w:hanging="330"/>
        <w:spacing w:after="0" w:line="248" w:lineRule="auto"/>
        <w:tabs>
          <w:tab w:leader="none" w:pos="1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74" w:lineRule="exact"/>
        <w:rPr>
          <w:rFonts w:ascii="Times New Roman" w:cs="Times New Roman" w:eastAsia="Times New Roman" w:hAnsi="Times New Roman"/>
          <w:sz w:val="14"/>
          <w:szCs w:val="14"/>
          <w:color w:val="auto"/>
        </w:rPr>
      </w:pPr>
    </w:p>
    <w:p>
      <w:pPr>
        <w:ind w:left="1440" w:right="559" w:hanging="330"/>
        <w:spacing w:after="0" w:line="248" w:lineRule="auto"/>
        <w:tabs>
          <w:tab w:leader="none" w:pos="1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74" w:lineRule="exact"/>
        <w:rPr>
          <w:rFonts w:ascii="Times New Roman" w:cs="Times New Roman" w:eastAsia="Times New Roman" w:hAnsi="Times New Roman"/>
          <w:sz w:val="14"/>
          <w:szCs w:val="14"/>
          <w:color w:val="auto"/>
        </w:rPr>
      </w:pPr>
    </w:p>
    <w:p>
      <w:pPr>
        <w:ind w:left="1440" w:right="379" w:hanging="330"/>
        <w:spacing w:after="0" w:line="248" w:lineRule="auto"/>
        <w:tabs>
          <w:tab w:leader="none" w:pos="1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74" w:lineRule="exact"/>
        <w:rPr>
          <w:rFonts w:ascii="Times New Roman" w:cs="Times New Roman" w:eastAsia="Times New Roman" w:hAnsi="Times New Roman"/>
          <w:sz w:val="14"/>
          <w:szCs w:val="14"/>
          <w:color w:val="auto"/>
        </w:rPr>
      </w:pPr>
    </w:p>
    <w:p>
      <w:pPr>
        <w:ind w:left="1440" w:right="439" w:hanging="330"/>
        <w:spacing w:after="0" w:line="251" w:lineRule="auto"/>
        <w:tabs>
          <w:tab w:leader="none" w:pos="1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Based upon the foregoing, and subject to the additional qualifications set forth below, we are of the opinion that:</w:t>
      </w:r>
    </w:p>
    <w:p>
      <w:pPr>
        <w:spacing w:after="0" w:line="163" w:lineRule="exact"/>
        <w:rPr>
          <w:sz w:val="20"/>
          <w:szCs w:val="20"/>
          <w:color w:val="auto"/>
        </w:rPr>
      </w:pPr>
    </w:p>
    <w:p>
      <w:pPr>
        <w:ind w:left="380" w:right="679" w:firstLine="330"/>
        <w:spacing w:after="0" w:line="261" w:lineRule="auto"/>
        <w:rPr>
          <w:sz w:val="20"/>
          <w:szCs w:val="20"/>
          <w:color w:val="auto"/>
        </w:rPr>
      </w:pPr>
      <w:r>
        <w:rPr>
          <w:rFonts w:ascii="Times New Roman" w:cs="Times New Roman" w:eastAsia="Times New Roman" w:hAnsi="Times New Roman"/>
          <w:sz w:val="14"/>
          <w:szCs w:val="14"/>
          <w:color w:val="auto"/>
        </w:rPr>
        <w:t>1.  Upon the Future Approval and Issuance of shares of Common Stock, such shares of Common Stock will be validly issued, fully paid and nonassessable.</w:t>
      </w:r>
    </w:p>
    <w:p>
      <w:pPr>
        <w:spacing w:after="0" w:line="136" w:lineRule="exact"/>
        <w:rPr>
          <w:sz w:val="20"/>
          <w:szCs w:val="20"/>
          <w:color w:val="auto"/>
        </w:rPr>
      </w:pPr>
    </w:p>
    <w:p>
      <w:pPr>
        <w:ind w:left="380" w:right="679" w:firstLine="330"/>
        <w:spacing w:after="0" w:line="261" w:lineRule="auto"/>
        <w:rPr>
          <w:sz w:val="20"/>
          <w:szCs w:val="20"/>
          <w:color w:val="auto"/>
        </w:rPr>
      </w:pPr>
      <w:r>
        <w:rPr>
          <w:rFonts w:ascii="Times New Roman" w:cs="Times New Roman" w:eastAsia="Times New Roman" w:hAnsi="Times New Roman"/>
          <w:sz w:val="14"/>
          <w:szCs w:val="14"/>
          <w:color w:val="auto"/>
        </w:rPr>
        <w:t>2.  Upon the Future Approval and Issuance of shares of Preferred Stock, such shares of Preferred Stock will be validly issued, fully paid and nonassessable.</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3.   Upon the Future Approval and Issuance of Debt Securities, such Debt Securities will be valid and binding obligations of the Company.</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4.   Upon the Future Approval and Issuance of Warrants, such Warrants will be valid and binding obligations of the Company.</w:t>
      </w:r>
    </w:p>
    <w:p>
      <w:pPr>
        <w:sectPr>
          <w:pgSz w:w="11900" w:h="16838" w:orient="portrait"/>
          <w:cols w:equalWidth="0" w:num="1">
            <w:col w:w="9019"/>
          </w:cols>
          <w:pgMar w:left="1440" w:top="238" w:right="1440" w:bottom="1440" w:gutter="0" w:footer="0" w:header="0"/>
        </w:sectPr>
      </w:pPr>
    </w:p>
    <w:bookmarkStart w:id="94" w:name="page95"/>
    <w:bookmarkEnd w:id="94"/>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PepGen Inc.</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May 18, 2026</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Page 3</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5.   Upon the Future Approval and Issuance of Units, such Units will be valid and binding obligations of the Company.</w:t>
      </w:r>
    </w:p>
    <w:p>
      <w:pPr>
        <w:spacing w:after="0" w:line="163" w:lineRule="exact"/>
        <w:rPr>
          <w:sz w:val="20"/>
          <w:szCs w:val="20"/>
          <w:color w:val="auto"/>
        </w:rPr>
      </w:pPr>
    </w:p>
    <w:p>
      <w:pPr>
        <w:ind w:left="380" w:right="559"/>
        <w:spacing w:after="0" w:line="261" w:lineRule="auto"/>
        <w:rPr>
          <w:sz w:val="20"/>
          <w:szCs w:val="20"/>
          <w:color w:val="auto"/>
        </w:rPr>
      </w:pPr>
      <w:r>
        <w:rPr>
          <w:rFonts w:ascii="Times New Roman" w:cs="Times New Roman" w:eastAsia="Times New Roman" w:hAnsi="Times New Roman"/>
          <w:sz w:val="14"/>
          <w:szCs w:val="14"/>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34" w:lineRule="exact"/>
        <w:rPr>
          <w:sz w:val="20"/>
          <w:szCs w:val="20"/>
          <w:color w:val="auto"/>
        </w:rPr>
      </w:pPr>
    </w:p>
    <w:p>
      <w:pPr>
        <w:ind w:left="380" w:right="499"/>
        <w:spacing w:after="0" w:line="264" w:lineRule="auto"/>
        <w:rPr>
          <w:sz w:val="20"/>
          <w:szCs w:val="20"/>
          <w:color w:val="auto"/>
        </w:rPr>
      </w:pPr>
      <w:r>
        <w:rPr>
          <w:rFonts w:ascii="Times New Roman" w:cs="Times New Roman" w:eastAsia="Times New Roman" w:hAnsi="Times New Roman"/>
          <w:sz w:val="14"/>
          <w:szCs w:val="14"/>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4"/>
          <w:szCs w:val="14"/>
          <w:i w:val="1"/>
          <w:iCs w:val="1"/>
          <w:color w:val="auto"/>
        </w:rPr>
        <w:t>Business Lawyer</w:t>
      </w:r>
      <w:r>
        <w:rPr>
          <w:rFonts w:ascii="Times New Roman" w:cs="Times New Roman" w:eastAsia="Times New Roman" w:hAnsi="Times New Roman"/>
          <w:sz w:val="14"/>
          <w:szCs w:val="14"/>
          <w:color w:val="auto"/>
        </w:rPr>
        <w:t xml:space="preserve"> 815 (Summer 2019).</w:t>
      </w:r>
    </w:p>
    <w:p>
      <w:pPr>
        <w:spacing w:after="0" w:line="134" w:lineRule="exact"/>
        <w:rPr>
          <w:sz w:val="20"/>
          <w:szCs w:val="20"/>
          <w:color w:val="auto"/>
        </w:rPr>
      </w:pPr>
    </w:p>
    <w:p>
      <w:pPr>
        <w:ind w:left="380" w:right="399"/>
        <w:spacing w:after="0" w:line="251"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G</w:t>
      </w:r>
      <w:r>
        <w:rPr>
          <w:rFonts w:ascii="Times New Roman" w:cs="Times New Roman" w:eastAsia="Times New Roman" w:hAnsi="Times New Roman"/>
          <w:sz w:val="11"/>
          <w:szCs w:val="11"/>
          <w:color w:val="auto"/>
        </w:rPr>
        <w:t>OODWIN</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ROCTER</w:t>
      </w:r>
      <w:r>
        <w:rPr>
          <w:rFonts w:ascii="Times New Roman" w:cs="Times New Roman" w:eastAsia="Times New Roman" w:hAnsi="Times New Roman"/>
          <w:sz w:val="14"/>
          <w:szCs w:val="14"/>
          <w:color w:val="auto"/>
        </w:rPr>
        <w:t xml:space="preserve"> LLP</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GOODWIN PROCTER LLP</w:t>
      </w:r>
    </w:p>
    <w:p>
      <w:pPr>
        <w:sectPr>
          <w:pgSz w:w="11900" w:h="16838" w:orient="portrait"/>
          <w:cols w:equalWidth="0" w:num="1">
            <w:col w:w="9019"/>
          </w:cols>
          <w:pgMar w:left="1440" w:top="238" w:right="1440" w:bottom="1440" w:gutter="0" w:footer="0" w:header="0"/>
        </w:sectPr>
      </w:pPr>
    </w:p>
    <w:bookmarkStart w:id="95" w:name="page96"/>
    <w:bookmarkEnd w:id="95"/>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May 18, 2026</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PepGen Inc.</w:t>
      </w:r>
    </w:p>
    <w:p>
      <w:pPr>
        <w:ind w:left="380"/>
        <w:spacing w:after="0" w:line="184" w:lineRule="auto"/>
        <w:rPr>
          <w:sz w:val="20"/>
          <w:szCs w:val="20"/>
          <w:color w:val="auto"/>
        </w:rPr>
      </w:pPr>
      <w:r>
        <w:rPr>
          <w:rFonts w:ascii="Times New Roman" w:cs="Times New Roman" w:eastAsia="Times New Roman" w:hAnsi="Times New Roman"/>
          <w:sz w:val="14"/>
          <w:szCs w:val="14"/>
          <w:color w:val="auto"/>
        </w:rPr>
        <w:t>321 Harrison Avenue,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ind w:left="380"/>
        <w:spacing w:after="0"/>
        <w:rPr>
          <w:sz w:val="20"/>
          <w:szCs w:val="20"/>
          <w:color w:val="auto"/>
        </w:rPr>
      </w:pPr>
      <w:r>
        <w:rPr>
          <w:rFonts w:ascii="Times New Roman" w:cs="Times New Roman" w:eastAsia="Times New Roman" w:hAnsi="Times New Roman"/>
          <w:sz w:val="14"/>
          <w:szCs w:val="14"/>
          <w:color w:val="auto"/>
        </w:rPr>
        <w:t>Boston, MA 02118</w:t>
      </w:r>
    </w:p>
    <w:p>
      <w:pPr>
        <w:spacing w:after="0" w:line="170"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Securities Registered under Registration Statement on Form S-3</w:t>
      </w:r>
    </w:p>
    <w:p>
      <w:pPr>
        <w:spacing w:after="0" w:line="163" w:lineRule="exact"/>
        <w:rPr>
          <w:sz w:val="20"/>
          <w:szCs w:val="20"/>
          <w:color w:val="auto"/>
        </w:rPr>
      </w:pPr>
    </w:p>
    <w:p>
      <w:pPr>
        <w:ind w:left="380" w:right="499" w:firstLine="330"/>
        <w:spacing w:after="0" w:line="290" w:lineRule="auto"/>
        <w:rPr>
          <w:sz w:val="20"/>
          <w:szCs w:val="20"/>
          <w:color w:val="auto"/>
        </w:rPr>
      </w:pPr>
      <w:r>
        <w:rPr>
          <w:rFonts w:ascii="Times New Roman" w:cs="Times New Roman" w:eastAsia="Times New Roman" w:hAnsi="Times New Roman"/>
          <w:sz w:val="12"/>
          <w:szCs w:val="12"/>
          <w:color w:val="auto"/>
        </w:rPr>
        <w:t>We have acted as counsel to you in connection with your filing of a Registration Statement on Form S-3 (as amended or supplemented, the “Registration Statement”) filed on May 18, 2026 with the Securities and Exchange Commission (the “Commission”) pursuant to the Securities Act of 1933, as amended (the “Securities Act”), relating to the registration of the offering by PepGen Inc, a Delaware corporation (the “Company”) of up to $400,000,000 of any combination of securities of the types specified therein. Reference is made to our opinion letter dated May 18, 2026 and included as Exhibit 5.1 to the Registration Statement. We are delivering this supplemental opinion letter in connection with the prospectus (the “Prospectus”) filed as part of the Registration Statement. The Prospectus relates to the offering by the Company of up to $100,000,000 in shares (the “Shares”) of the Company’s common stock, par value $0.0001 per share (“Common Stock”) covered by the Registration Statement. The Shares are being offered and sold by the sales agent(s) named in, and pursuant to, distribution agreement(s) among the Company and such sales agent(s).</w:t>
      </w:r>
    </w:p>
    <w:p>
      <w:pPr>
        <w:spacing w:after="0" w:line="125" w:lineRule="exact"/>
        <w:rPr>
          <w:sz w:val="20"/>
          <w:szCs w:val="20"/>
          <w:color w:val="auto"/>
        </w:rPr>
      </w:pPr>
    </w:p>
    <w:p>
      <w:pPr>
        <w:ind w:left="380" w:right="659" w:firstLine="330"/>
        <w:spacing w:after="0" w:line="251"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43" w:lineRule="exact"/>
        <w:rPr>
          <w:sz w:val="20"/>
          <w:szCs w:val="20"/>
          <w:color w:val="auto"/>
        </w:rPr>
      </w:pPr>
    </w:p>
    <w:p>
      <w:pPr>
        <w:ind w:left="380" w:right="419" w:firstLine="330"/>
        <w:spacing w:after="0" w:line="248" w:lineRule="auto"/>
        <w:rPr>
          <w:sz w:val="20"/>
          <w:szCs w:val="20"/>
          <w:color w:val="auto"/>
        </w:rPr>
      </w:pPr>
      <w:r>
        <w:rPr>
          <w:rFonts w:ascii="Times New Roman" w:cs="Times New Roman" w:eastAsia="Times New Roman" w:hAnsi="Times New Roman"/>
          <w:sz w:val="14"/>
          <w:szCs w:val="14"/>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45" w:lineRule="exact"/>
        <w:rPr>
          <w:sz w:val="20"/>
          <w:szCs w:val="20"/>
          <w:color w:val="auto"/>
        </w:rPr>
      </w:pPr>
    </w:p>
    <w:p>
      <w:pPr>
        <w:ind w:left="380" w:right="459" w:firstLine="330"/>
        <w:spacing w:after="0" w:line="248" w:lineRule="auto"/>
        <w:rPr>
          <w:sz w:val="20"/>
          <w:szCs w:val="20"/>
          <w:color w:val="auto"/>
        </w:rPr>
      </w:pPr>
      <w:r>
        <w:rPr>
          <w:rFonts w:ascii="Times New Roman" w:cs="Times New Roman" w:eastAsia="Times New Roman" w:hAnsi="Times New Roman"/>
          <w:sz w:val="14"/>
          <w:szCs w:val="14"/>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The opinion set forth below is limited to the Delaware General Corporation Law.</w:t>
      </w:r>
    </w:p>
    <w:p>
      <w:pPr>
        <w:sectPr>
          <w:pgSz w:w="11900" w:h="16838" w:orient="portrait"/>
          <w:cols w:equalWidth="0" w:num="1">
            <w:col w:w="9019"/>
          </w:cols>
          <w:pgMar w:left="1440" w:top="123" w:right="1440" w:bottom="1440" w:gutter="0" w:footer="0" w:header="0"/>
        </w:sectPr>
      </w:pPr>
    </w:p>
    <w:bookmarkStart w:id="96" w:name="page97"/>
    <w:bookmarkEnd w:id="96"/>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PepGen Inc.</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May 18, 2026</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Page 2</w:t>
      </w:r>
    </w:p>
    <w:p>
      <w:pPr>
        <w:spacing w:after="0" w:line="100" w:lineRule="exact"/>
        <w:rPr>
          <w:sz w:val="20"/>
          <w:szCs w:val="20"/>
          <w:color w:val="auto"/>
        </w:rPr>
      </w:pPr>
    </w:p>
    <w:p>
      <w:pPr>
        <w:jc w:val="both"/>
        <w:ind w:left="380" w:right="499" w:firstLine="330"/>
        <w:spacing w:after="0" w:line="261" w:lineRule="auto"/>
        <w:rPr>
          <w:sz w:val="20"/>
          <w:szCs w:val="20"/>
          <w:color w:val="auto"/>
        </w:rPr>
      </w:pPr>
      <w:r>
        <w:rPr>
          <w:rFonts w:ascii="Times New Roman" w:cs="Times New Roman" w:eastAsia="Times New Roman" w:hAnsi="Times New Roman"/>
          <w:sz w:val="14"/>
          <w:szCs w:val="14"/>
          <w:color w:val="auto"/>
        </w:rPr>
        <w:t>Based on the foregoing, we are of the opinion that the Shares have been duly authorized and, upon Future Approval and Issuance, will be validly issued, fully paid and nonassessable.</w:t>
      </w:r>
    </w:p>
    <w:p>
      <w:pPr>
        <w:spacing w:after="0" w:line="136" w:lineRule="exact"/>
        <w:rPr>
          <w:sz w:val="20"/>
          <w:szCs w:val="20"/>
          <w:color w:val="auto"/>
        </w:rPr>
      </w:pPr>
    </w:p>
    <w:p>
      <w:pPr>
        <w:ind w:left="380" w:right="599" w:firstLine="330"/>
        <w:spacing w:after="0" w:line="261" w:lineRule="auto"/>
        <w:rPr>
          <w:sz w:val="20"/>
          <w:szCs w:val="20"/>
          <w:color w:val="auto"/>
        </w:rPr>
      </w:pPr>
      <w:r>
        <w:rPr>
          <w:rFonts w:ascii="Times New Roman" w:cs="Times New Roman" w:eastAsia="Times New Roman" w:hAnsi="Times New Roman"/>
          <w:sz w:val="14"/>
          <w:szCs w:val="14"/>
          <w:color w:val="auto"/>
        </w:rPr>
        <w:t>This opinion letter and the opinions it contains shall be interpreted in accordance with the Core Opinion Principles as published in 74 Business Lawyer 815 (Summer 2019).</w:t>
      </w:r>
    </w:p>
    <w:p>
      <w:pPr>
        <w:spacing w:after="0" w:line="136" w:lineRule="exact"/>
        <w:rPr>
          <w:sz w:val="20"/>
          <w:szCs w:val="20"/>
          <w:color w:val="auto"/>
        </w:rPr>
      </w:pPr>
    </w:p>
    <w:p>
      <w:pPr>
        <w:jc w:val="both"/>
        <w:ind w:left="380" w:right="479" w:firstLine="330"/>
        <w:spacing w:after="0" w:line="251"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5.2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 xml:space="preserve">GOODWIN PROCTER </w:t>
      </w:r>
      <w:r>
        <w:rPr>
          <w:rFonts w:ascii="Times New Roman" w:cs="Times New Roman" w:eastAsia="Times New Roman" w:hAnsi="Times New Roman"/>
          <w:sz w:val="11"/>
          <w:szCs w:val="11"/>
          <w:color w:val="auto"/>
        </w:rPr>
        <w:t>LLP</w:t>
      </w:r>
    </w:p>
    <w:p>
      <w:pPr>
        <w:sectPr>
          <w:pgSz w:w="11900" w:h="16838" w:orient="portrait"/>
          <w:cols w:equalWidth="0" w:num="1">
            <w:col w:w="9019"/>
          </w:cols>
          <w:pgMar w:left="1440" w:top="238" w:right="1440" w:bottom="1440" w:gutter="0" w:footer="0" w:header="0"/>
        </w:sectPr>
      </w:pPr>
    </w:p>
    <w:bookmarkStart w:id="97" w:name="page98"/>
    <w:bookmarkEnd w:id="97"/>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7" w:lineRule="exact"/>
        <w:rPr>
          <w:sz w:val="20"/>
          <w:szCs w:val="20"/>
          <w:color w:val="auto"/>
        </w:rPr>
      </w:pPr>
    </w:p>
    <w:p>
      <w:pPr>
        <w:ind w:left="380" w:right="1039"/>
        <w:spacing w:after="0" w:line="261" w:lineRule="auto"/>
        <w:rPr>
          <w:sz w:val="20"/>
          <w:szCs w:val="20"/>
          <w:color w:val="auto"/>
        </w:rPr>
      </w:pPr>
      <w:r>
        <w:rPr>
          <w:rFonts w:ascii="Times New Roman" w:cs="Times New Roman" w:eastAsia="Times New Roman" w:hAnsi="Times New Roman"/>
          <w:sz w:val="14"/>
          <w:szCs w:val="14"/>
          <w:color w:val="auto"/>
        </w:rPr>
        <w:t>We consent to the use of our report dated March 4, 2026, with respect to the consolidated financial statements of PepGen Inc. and subsidiary, incorporated herein by reference, and to the reference to our firm under the heading “Experts” in the prospectus.</w:t>
      </w:r>
    </w:p>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/s/ KPMG LLP</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May 18, 2026</w:t>
      </w:r>
    </w:p>
    <w:p>
      <w:pPr>
        <w:sectPr>
          <w:pgSz w:w="11900" w:h="16838" w:orient="portrait"/>
          <w:cols w:equalWidth="0" w:num="1">
            <w:col w:w="9019"/>
          </w:cols>
          <w:pgMar w:left="1440" w:top="123" w:right="1440" w:bottom="1440" w:gutter="0" w:footer="0" w:header="0"/>
        </w:sectPr>
      </w:pPr>
    </w:p>
    <w:bookmarkStart w:id="98" w:name="page99"/>
    <w:bookmarkEnd w:id="98"/>
    <w:p>
      <w:pPr>
        <w:spacing w:after="0" w:line="47"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PepGen Inc.</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1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80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63"/>
        </w:trPr>
        <w:tc>
          <w:tcPr>
            <w:tcW w:w="1800" w:type="dxa"/>
            <w:vAlign w:val="bottom"/>
          </w:tcPr>
          <w:p>
            <w:pPr>
              <w:spacing w:after="0"/>
              <w:rPr>
                <w:sz w:val="14"/>
                <w:szCs w:val="14"/>
                <w:color w:val="auto"/>
              </w:rPr>
            </w:pPr>
          </w:p>
        </w:tc>
        <w:tc>
          <w:tcPr>
            <w:tcW w:w="1720" w:type="dxa"/>
            <w:vAlign w:val="bottom"/>
            <w:gridSpan w:val="2"/>
          </w:tcPr>
          <w:p>
            <w:pPr>
              <w:ind w:left="100"/>
              <w:spacing w:after="0" w:line="163" w:lineRule="exact"/>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spacing w:after="0"/>
              <w:rPr>
                <w:sz w:val="14"/>
                <w:szCs w:val="14"/>
                <w:color w:val="auto"/>
              </w:rPr>
            </w:pPr>
          </w:p>
        </w:tc>
        <w:tc>
          <w:tcPr>
            <w:tcW w:w="8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Maximum</w:t>
            </w:r>
          </w:p>
        </w:tc>
        <w:tc>
          <w:tcPr>
            <w:tcW w:w="11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Maximum</w:t>
            </w:r>
          </w:p>
        </w:tc>
        <w:tc>
          <w:tcPr>
            <w:tcW w:w="1800" w:type="dxa"/>
            <w:vAlign w:val="bottom"/>
          </w:tcPr>
          <w:p>
            <w:pPr>
              <w:jc w:val="center"/>
              <w:ind w:left="719"/>
              <w:spacing w:after="0" w:line="163" w:lineRule="exact"/>
              <w:rPr>
                <w:sz w:val="20"/>
                <w:szCs w:val="20"/>
                <w:color w:val="auto"/>
              </w:rPr>
            </w:pPr>
            <w:r>
              <w:rPr>
                <w:rFonts w:ascii="Arial" w:cs="Arial" w:eastAsia="Arial" w:hAnsi="Arial"/>
                <w:sz w:val="16"/>
                <w:szCs w:val="16"/>
                <w:b w:val="1"/>
                <w:bCs w:val="1"/>
                <w:color w:val="auto"/>
                <w:w w:val="99"/>
              </w:rPr>
              <w:t>Amount of</w:t>
            </w: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tcPr>
          <w:p>
            <w:pPr>
              <w:jc w:val="center"/>
              <w:ind w:left="919"/>
              <w:spacing w:after="0" w:line="182" w:lineRule="exact"/>
              <w:rPr>
                <w:sz w:val="20"/>
                <w:szCs w:val="20"/>
                <w:color w:val="auto"/>
              </w:rPr>
            </w:pPr>
            <w:r>
              <w:rPr>
                <w:rFonts w:ascii="Arial" w:cs="Arial" w:eastAsia="Arial" w:hAnsi="Arial"/>
                <w:sz w:val="16"/>
                <w:szCs w:val="16"/>
                <w:b w:val="1"/>
                <w:bCs w:val="1"/>
                <w:color w:val="auto"/>
              </w:rPr>
              <w:t>Security</w:t>
            </w: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Class</w:t>
            </w:r>
          </w:p>
        </w:tc>
        <w:tc>
          <w:tcPr>
            <w:tcW w:w="9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or Carry</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180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Fee Rate Registration</w:t>
            </w:r>
          </w:p>
        </w:tc>
        <w:tc>
          <w:tcPr>
            <w:tcW w:w="14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rPr>
              <w:t>Forward Forward</w:t>
            </w: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2"/>
        </w:trPr>
        <w:tc>
          <w:tcPr>
            <w:tcW w:w="1800" w:type="dxa"/>
            <w:vAlign w:val="bottom"/>
          </w:tcPr>
          <w:p>
            <w:pPr>
              <w:jc w:val="center"/>
              <w:ind w:left="919"/>
              <w:spacing w:after="0" w:line="182" w:lineRule="exact"/>
              <w:rPr>
                <w:sz w:val="20"/>
                <w:szCs w:val="20"/>
                <w:color w:val="auto"/>
              </w:rPr>
            </w:pPr>
            <w:r>
              <w:rPr>
                <w:rFonts w:ascii="Arial" w:cs="Arial" w:eastAsia="Arial" w:hAnsi="Arial"/>
                <w:sz w:val="16"/>
                <w:szCs w:val="16"/>
                <w:b w:val="1"/>
                <w:bCs w:val="1"/>
                <w:color w:val="auto"/>
                <w:w w:val="96"/>
              </w:rPr>
              <w:t>Type</w:t>
            </w: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Title</w:t>
            </w:r>
          </w:p>
        </w:tc>
        <w:tc>
          <w:tcPr>
            <w:tcW w:w="9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1800" w:type="dxa"/>
            <w:vAlign w:val="bottom"/>
          </w:tcPr>
          <w:p>
            <w:pPr>
              <w:jc w:val="center"/>
              <w:ind w:left="719"/>
              <w:spacing w:after="0" w:line="182"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7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File</w:t>
            </w: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rPr>
              <w:t>Rule</w:t>
            </w:r>
          </w:p>
        </w:tc>
        <w:tc>
          <w:tcPr>
            <w:tcW w:w="880" w:type="dxa"/>
            <w:vAlign w:val="bottom"/>
          </w:tcPr>
          <w:p>
            <w:pPr>
              <w:spacing w:after="0"/>
              <w:rPr>
                <w:sz w:val="15"/>
                <w:szCs w:val="15"/>
                <w:color w:val="auto"/>
              </w:rPr>
            </w:pPr>
          </w:p>
        </w:tc>
        <w:tc>
          <w:tcPr>
            <w:tcW w:w="8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rPr>
              <w:t>Unit</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7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Number</w:t>
            </w:r>
          </w:p>
        </w:tc>
        <w:tc>
          <w:tcPr>
            <w:tcW w:w="8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rPr>
              <w:t>Date</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-871220</wp:posOffset>
            </wp:positionV>
            <wp:extent cx="7216140" cy="9528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216140" cy="9528175"/>
                    </a:xfrm>
                    <a:prstGeom prst="rect">
                      <a:avLst/>
                    </a:prstGeom>
                    <a:noFill/>
                  </pic:spPr>
                </pic:pic>
              </a:graphicData>
            </a:graphic>
          </wp:anchor>
        </w:drawing>
      </w:r>
    </w:p>
    <w:p>
      <w:pPr>
        <w:jc w:val="center"/>
        <w:ind w:left="10460"/>
        <w:spacing w:after="0" w:line="189" w:lineRule="auto"/>
        <w:rPr>
          <w:sz w:val="20"/>
          <w:szCs w:val="20"/>
          <w:color w:val="auto"/>
        </w:rPr>
      </w:pPr>
      <w:r>
        <w:rPr>
          <w:rFonts w:ascii="Arial" w:cs="Arial" w:eastAsia="Arial" w:hAnsi="Arial"/>
          <w:sz w:val="14"/>
          <w:szCs w:val="14"/>
          <w:b w:val="1"/>
          <w:bCs w:val="1"/>
          <w:color w:val="auto"/>
        </w:rPr>
        <w:t>to be</w:t>
      </w:r>
    </w:p>
    <w:p>
      <w:pPr>
        <w:jc w:val="center"/>
        <w:ind w:left="10460"/>
        <w:spacing w:after="0" w:line="237" w:lineRule="auto"/>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$ 20,035.76</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145,081,550.00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272378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272378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272378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272378</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272378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$ 13,215.01</w:t>
            </w: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119,918,450.00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272378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07/08/2024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280570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07/08/2024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280570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07/08/2024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280570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07/08/2024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280570</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07/08/2024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280570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07/08/2024</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$ 19,926.00</w:t>
            </w: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135,000,000.00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280570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ind w:left="80"/>
              <w:spacing w:after="0"/>
              <w:rPr>
                <w:sz w:val="20"/>
                <w:szCs w:val="20"/>
                <w:color w:val="auto"/>
              </w:rPr>
            </w:pPr>
            <w:r>
              <w:rPr>
                <w:rFonts w:ascii="Arial" w:cs="Arial" w:eastAsia="Arial" w:hAnsi="Arial"/>
                <w:sz w:val="16"/>
                <w:szCs w:val="16"/>
                <w:color w:val="auto"/>
                <w:w w:val="99"/>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$ 20,035.76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5" w:orient="portrait"/>
          <w:cols w:equalWidth="0" w:num="1">
            <w:col w:w="11360"/>
          </w:cols>
          <w:pgMar w:left="300" w:top="140" w:right="239" w:bottom="0" w:gutter="0" w:footer="0" w:header="0"/>
        </w:sectPr>
      </w:pPr>
    </w:p>
    <w:bookmarkStart w:id="99" w:name="page100"/>
    <w:bookmarkEnd w:id="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80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jc w:val="right"/>
              <w:ind w:right="4939"/>
              <w:spacing w:after="0"/>
              <w:rPr>
                <w:sz w:val="20"/>
                <w:szCs w:val="20"/>
                <w:color w:val="auto"/>
              </w:rPr>
            </w:pPr>
            <w:r>
              <w:rPr>
                <w:rFonts w:ascii="Arial" w:cs="Arial" w:eastAsia="Arial" w:hAnsi="Arial"/>
                <w:sz w:val="16"/>
                <w:szCs w:val="16"/>
                <w:color w:val="auto"/>
              </w:rPr>
              <w:t>400,000,000.00</w:t>
            </w:r>
          </w:p>
        </w:tc>
      </w:tr>
      <w:tr>
        <w:trPr>
          <w:trHeight w:val="215"/>
        </w:trPr>
        <w:tc>
          <w:tcPr>
            <w:tcW w:w="4800" w:type="dxa"/>
            <w:vAlign w:val="bottom"/>
            <w:tcBorders>
              <w:left w:val="single" w:sz="8" w:color="auto"/>
            </w:tcBorders>
          </w:tcPr>
          <w:p>
            <w:pPr>
              <w:jc w:val="right"/>
              <w:ind w:right="339"/>
              <w:spacing w:after="0"/>
              <w:rPr>
                <w:sz w:val="20"/>
                <w:szCs w:val="20"/>
                <w:color w:val="auto"/>
              </w:rPr>
            </w:pPr>
            <w:r>
              <w:rPr>
                <w:rFonts w:ascii="Arial" w:cs="Arial" w:eastAsia="Arial" w:hAnsi="Arial"/>
                <w:sz w:val="16"/>
                <w:szCs w:val="16"/>
                <w:color w:val="auto"/>
              </w:rPr>
              <w:t>Total Fees Previously Paid:</w:t>
            </w:r>
          </w:p>
        </w:tc>
        <w:tc>
          <w:tcPr>
            <w:tcW w:w="6580" w:type="dxa"/>
            <w:vAlign w:val="bottom"/>
            <w:tcBorders>
              <w:right w:val="single" w:sz="8" w:color="auto"/>
            </w:tcBorders>
          </w:tcPr>
          <w:p>
            <w:pPr>
              <w:jc w:val="right"/>
              <w:ind w:right="3139"/>
              <w:spacing w:after="0"/>
              <w:rPr>
                <w:sz w:val="20"/>
                <w:szCs w:val="20"/>
                <w:color w:val="auto"/>
              </w:rPr>
            </w:pPr>
            <w:r>
              <w:rPr>
                <w:rFonts w:ascii="Arial" w:cs="Arial" w:eastAsia="Arial" w:hAnsi="Arial"/>
                <w:sz w:val="16"/>
                <w:szCs w:val="16"/>
                <w:color w:val="auto"/>
              </w:rPr>
              <w:t>$ 0.00</w:t>
            </w:r>
          </w:p>
        </w:tc>
      </w:tr>
      <w:tr>
        <w:trPr>
          <w:trHeight w:val="223"/>
        </w:trPr>
        <w:tc>
          <w:tcPr>
            <w:tcW w:w="4800" w:type="dxa"/>
            <w:vAlign w:val="bottom"/>
            <w:tcBorders>
              <w:left w:val="single" w:sz="8" w:color="auto"/>
            </w:tcBorders>
          </w:tcPr>
          <w:p>
            <w:pPr>
              <w:jc w:val="right"/>
              <w:ind w:right="339"/>
              <w:spacing w:after="0"/>
              <w:rPr>
                <w:sz w:val="20"/>
                <w:szCs w:val="20"/>
                <w:color w:val="auto"/>
              </w:rPr>
            </w:pPr>
            <w:r>
              <w:rPr>
                <w:rFonts w:ascii="Arial" w:cs="Arial" w:eastAsia="Arial" w:hAnsi="Arial"/>
                <w:sz w:val="16"/>
                <w:szCs w:val="16"/>
                <w:color w:val="auto"/>
              </w:rPr>
              <w:t>Total Fee Offsets:</w:t>
            </w:r>
          </w:p>
        </w:tc>
        <w:tc>
          <w:tcPr>
            <w:tcW w:w="6580" w:type="dxa"/>
            <w:vAlign w:val="bottom"/>
            <w:tcBorders>
              <w:right w:val="single" w:sz="8" w:color="auto"/>
            </w:tcBorders>
          </w:tcPr>
          <w:p>
            <w:pPr>
              <w:jc w:val="right"/>
              <w:ind w:right="3139"/>
              <w:spacing w:after="0"/>
              <w:rPr>
                <w:sz w:val="20"/>
                <w:szCs w:val="20"/>
                <w:color w:val="auto"/>
              </w:rPr>
            </w:pPr>
            <w:r>
              <w:rPr>
                <w:rFonts w:ascii="Arial" w:cs="Arial" w:eastAsia="Arial" w:hAnsi="Arial"/>
                <w:sz w:val="16"/>
                <w:szCs w:val="16"/>
                <w:color w:val="auto"/>
              </w:rPr>
              <w:t>$ 0.00</w:t>
            </w:r>
          </w:p>
        </w:tc>
      </w:tr>
      <w:tr>
        <w:trPr>
          <w:trHeight w:val="237"/>
        </w:trPr>
        <w:tc>
          <w:tcPr>
            <w:tcW w:w="4800" w:type="dxa"/>
            <w:vAlign w:val="bottom"/>
            <w:tcBorders>
              <w:left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Net Fee Due:</w:t>
            </w:r>
          </w:p>
        </w:tc>
        <w:tc>
          <w:tcPr>
            <w:tcW w:w="6580" w:type="dxa"/>
            <w:vAlign w:val="bottom"/>
            <w:tcBorders>
              <w:bottom w:val="single" w:sz="8" w:color="auto"/>
              <w:right w:val="single" w:sz="8" w:color="auto"/>
            </w:tcBorders>
          </w:tcPr>
          <w:p>
            <w:pPr>
              <w:jc w:val="right"/>
              <w:ind w:right="3139"/>
              <w:spacing w:after="0"/>
              <w:rPr>
                <w:sz w:val="20"/>
                <w:szCs w:val="20"/>
                <w:color w:val="auto"/>
              </w:rPr>
            </w:pPr>
            <w:r>
              <w:rPr>
                <w:rFonts w:ascii="Arial" w:cs="Arial" w:eastAsia="Arial" w:hAnsi="Arial"/>
                <w:sz w:val="16"/>
                <w:szCs w:val="16"/>
                <w:color w:val="auto"/>
              </w:rPr>
              <w:t>$ 20,035.76</w:t>
            </w: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0" w:lineRule="exact"/>
        <w:rPr>
          <w:sz w:val="20"/>
          <w:szCs w:val="20"/>
          <w:color w:val="auto"/>
        </w:rPr>
      </w:pPr>
    </w:p>
    <w:p>
      <w:pPr>
        <w:ind w:left="200" w:right="120" w:hanging="169"/>
        <w:spacing w:after="0" w:line="235" w:lineRule="auto"/>
        <w:tabs>
          <w:tab w:leader="none" w:pos="200" w:val="left"/>
        </w:tabs>
        <w:numPr>
          <w:ilvl w:val="0"/>
          <w:numId w:val="60"/>
        </w:numPr>
        <w:rPr>
          <w:rFonts w:ascii="Arial" w:cs="Arial" w:eastAsia="Arial" w:hAnsi="Arial"/>
          <w:sz w:val="20"/>
          <w:szCs w:val="20"/>
          <w:color w:val="auto"/>
          <w:vertAlign w:val="superscript"/>
        </w:rPr>
      </w:pPr>
      <w:r>
        <w:rPr>
          <w:rFonts w:ascii="Arial" w:cs="Arial" w:eastAsia="Arial" w:hAnsi="Arial"/>
          <w:sz w:val="16"/>
          <w:szCs w:val="16"/>
          <w:color w:val="auto"/>
        </w:rPr>
        <w:t>The amount to be registered consists of up to $400,000,000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327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16" w:lineRule="exact"/>
        <w:rPr>
          <w:sz w:val="20"/>
          <w:szCs w:val="20"/>
          <w:color w:val="auto"/>
        </w:rPr>
      </w:pPr>
    </w:p>
    <w:p>
      <w:pPr>
        <w:ind w:left="200" w:right="100" w:hanging="169"/>
        <w:spacing w:after="0"/>
        <w:tabs>
          <w:tab w:leader="none" w:pos="20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The registrant previously registered the offer and sale of securities having a maximum aggregate offering price of $300,000,000 pursuant to a registration statement on Form S-3 (File No. 333-272378) initially filed with the Securities and Exchange Commission on June 2, 2023 (the "2023 Expiring Registration Statement") and, in connection therewith, paid a filing fee of $33,060. Of such securities, an aggregate of $119,918,450 remain unsold (the "2023 Unsold Securities"). The registrant previously registered the offer and sale of securities having a maximum aggregate offering price of $250,000,000 pursuant to a registration statement on Form S-3 (File No. 333-280570) initially filed with the Securities and Exchange Commission on June 28, 2024 (the "2024 Expiring Registration Statement" and together with the 2023 Expiring Registration Statement, the "Expiring Registration Statements") and, in connection therewith, paid a filing fee of $36,900. Of such securities, an aggregate of $135,000,000 remain unsold (the "2024 Unsold Securities" and together with the 2023 Unsold Securities, the "Unsold Securities"). Pursuant to Rule 415(a)(6) under the Securities Act, the securities registered pursuant to this registration statement include the Unsold Securities, and the filing fee of $33,141.01 associated therewith (which amount is based on the filing fee rates in effect at the time of the filing of the Expiring Registration Statements) is hereby carried forward to be applied to the Unsold Securities and no additional filing fee is due with respect to such Unsold Securities in connection with the filing of this registration statement. Pursuant to Rule 415(a)(6), the offering of the Unsold Securities pursuant to the Expiring Registration Statements shall be deemed terminated as of the date of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5327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360" w:lineRule="exact"/>
        <w:rPr>
          <w:sz w:val="20"/>
          <w:szCs w:val="20"/>
          <w:color w:val="auto"/>
        </w:rPr>
      </w:pPr>
    </w:p>
    <w:p>
      <w:pPr>
        <w:ind w:left="200" w:right="100" w:hanging="169"/>
        <w:spacing w:after="0"/>
        <w:tabs>
          <w:tab w:leader="none" w:pos="20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The registrant previously registered the offer and sale of securities having a maximum aggregate offering price of $300,000,000 pursuant to a registration statement on Form S-3 (File No. 333-272378) initially filed with the Securities and Exchange Commission on June 2, 2023 (the "2023 Expiring Registration Statement") and, in connection therewith, paid a filing fee of $33,060. Of such securities, an aggregate of $119,918,450 remain unsold (the "2023 Unsold Securities"). The registrant previously registered the offer and sale of securities having a maximum aggregate offering price of $250,000,000 pursuant to a registration statement on Form S-3 (File No. 333-280570) initially filed with the Securities and Exchange Commission on June 28, 2024 (the "2024 Expiring Registration Statement" and together with the 2023 Expiring Registration Statement, the "Expiring Registration Statements") and, in connection therewith, paid a filing fee of $36,900. Of such securities, an aggregate of $135,000,000 remain unsold (the "2024 Unsold Securities" and together with the 2023 Unsold Securities, the "Unsold Securities"). Pursuant to Rule 415(a)(6) under the Securities Act, the securities registered pursuant to this registration statement include the Unsold Securities, and the filing fee of $33,141.01 associated therewith (which amount is based on the filing fee rates in effect at the time of the filing of the Expiring Registration Statements) is hereby carried forward to be applied to the Unsold Securities and no additional filing fee is due with respect to such Unsold Securities in connection with the filing of this registration statement. Pursuant to Rule 415(a)(6), the offering of the Unsold Securities pursuant to the Expiring Registration Statements shall be deemed terminated as of the date of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5327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jc w:val="center"/>
              <w:ind w:right="159"/>
              <w:spacing w:after="0" w:line="182"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2"/>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302"/>
              <w:spacing w:after="0" w:line="182" w:lineRule="exact"/>
              <w:rPr>
                <w:sz w:val="20"/>
                <w:szCs w:val="20"/>
                <w:color w:val="auto"/>
              </w:rPr>
            </w:pPr>
            <w:r>
              <w:rPr>
                <w:rFonts w:ascii="Arial" w:cs="Arial" w:eastAsia="Arial" w:hAnsi="Arial"/>
                <w:sz w:val="16"/>
                <w:szCs w:val="16"/>
                <w:b w:val="1"/>
                <w:bCs w:val="1"/>
                <w:color w:val="auto"/>
              </w:rPr>
              <w:t>Offering Price of</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6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ind w:left="2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302"/>
              <w:spacing w:after="0"/>
              <w:rPr>
                <w:sz w:val="20"/>
                <w:szCs w:val="20"/>
                <w:color w:val="auto"/>
              </w:rPr>
            </w:pPr>
            <w:r>
              <w:rPr>
                <w:rFonts w:ascii="Arial" w:cs="Arial" w:eastAsia="Arial" w:hAnsi="Arial"/>
                <w:sz w:val="16"/>
                <w:szCs w:val="16"/>
                <w:b w:val="1"/>
                <w:bCs w:val="1"/>
                <w:color w:val="auto"/>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
      <w:numFmt w:val="bullet"/>
      <w:start w:val="1"/>
    </w:lvl>
  </w:abstractNum>
  <w:abstractNum w:abstractNumId="42">
    <w:nsid w:val="12E685FB"/>
    <w:multiLevelType w:val="hybridMultilevel"/>
    <w:lvl w:ilvl="0">
      <w:lvlJc w:val="left"/>
      <w:lvlText w:val=" "/>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5">
    <w:nsid w:val="374A3FE6"/>
    <w:multiLevelType w:val="hybridMultilevel"/>
    <w:lvl w:ilvl="0">
      <w:lvlJc w:val="left"/>
      <w:lvlText w:val="(%1)"/>
      <w:numFmt w:val="decimal"/>
      <w:start w:val="5"/>
    </w:lvl>
  </w:abstractNum>
  <w:abstractNum w:abstractNumId="46">
    <w:nsid w:val="4F4EF00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47">
    <w:nsid w:val="23F9C13C"/>
    <w:multiLevelType w:val="hybridMultilevel"/>
    <w:lvl w:ilvl="0">
      <w:lvlJc w:val="left"/>
      <w:lvlText w:val="%1"/>
      <w:numFmt w:val="decimal"/>
      <w:start w:val="1"/>
    </w:lvl>
    <w:lvl w:ilvl="1">
      <w:lvlJc w:val="left"/>
      <w:lvlText w:val="(%2)"/>
      <w:numFmt w:val="decimal"/>
      <w:start w:val="6"/>
    </w:lvl>
    <w:lvl w:ilvl="2">
      <w:lvlJc w:val="left"/>
      <w:lvlText w:val="%3"/>
      <w:numFmt w:val="lowerRoman"/>
      <w:start w:val="1"/>
    </w:lvl>
  </w:abstractNum>
  <w:abstractNum w:abstractNumId="48">
    <w:nsid w:val="649BB77C"/>
    <w:multiLevelType w:val="hybridMultilevel"/>
    <w:lvl w:ilvl="0">
      <w:lvlJc w:val="left"/>
      <w:lvlText w:val="(%1)"/>
      <w:numFmt w:val="decimal"/>
      <w:start w:val="4"/>
    </w:lvl>
    <w:lvl w:ilvl="1">
      <w:lvlJc w:val="left"/>
      <w:lvlText w:val="(%2)"/>
      <w:numFmt w:val="decimal"/>
      <w:start w:val="9"/>
    </w:lvl>
    <w:lvl w:ilvl="2">
      <w:lvlJc w:val="left"/>
      <w:lvlText w:val="%3"/>
      <w:numFmt w:val="lowerRoman"/>
      <w:start w:val="1"/>
    </w:lvl>
  </w:abstractNum>
  <w:abstractNum w:abstractNumId="49">
    <w:nsid w:val="275AC794"/>
    <w:multiLevelType w:val="hybridMultilevel"/>
    <w:lvl w:ilvl="0">
      <w:lvlJc w:val="left"/>
      <w:lvlText w:val="(%1)"/>
      <w:numFmt w:val="decimal"/>
      <w:start w:val="2"/>
    </w:lvl>
  </w:abstractNum>
  <w:abstractNum w:abstractNumId="50">
    <w:nsid w:val="39386575"/>
    <w:multiLevelType w:val="hybridMultilevel"/>
    <w:lvl w:ilvl="0">
      <w:lvlJc w:val="left"/>
      <w:lvlText w:val="(%1)"/>
      <w:numFmt w:val="lowerRoman"/>
      <w:start w:val="1"/>
    </w:lvl>
  </w:abstractNum>
  <w:abstractNum w:abstractNumId="51">
    <w:nsid w:val="1CF10FD8"/>
    <w:multiLevelType w:val="hybridMultilevel"/>
    <w:lvl w:ilvl="0">
      <w:lvlJc w:val="left"/>
      <w:lvlText w:val="(%1)"/>
      <w:numFmt w:val="lowerRoman"/>
      <w:start w:val="2"/>
    </w:lvl>
  </w:abstractNum>
  <w:abstractNum w:abstractNumId="52">
    <w:nsid w:val="180115BE"/>
    <w:multiLevelType w:val="hybridMultilevel"/>
    <w:lvl w:ilvl="0">
      <w:lvlJc w:val="left"/>
      <w:lvlText w:val="(%1)"/>
      <w:numFmt w:val="lowerRoman"/>
      <w:start w:val="3"/>
    </w:lvl>
  </w:abstractNum>
  <w:abstractNum w:abstractNumId="53">
    <w:nsid w:val="235BA861"/>
    <w:multiLevelType w:val="hybridMultilevel"/>
    <w:lvl w:ilvl="0">
      <w:lvlJc w:val="left"/>
      <w:lvlText w:val="(%1)"/>
      <w:numFmt w:val="lowerRoman"/>
      <w:start w:val="1"/>
    </w:lvl>
  </w:abstractNum>
  <w:abstractNum w:abstractNumId="54">
    <w:nsid w:val="47398C89"/>
    <w:multiLevelType w:val="hybridMultilevel"/>
    <w:lvl w:ilvl="0">
      <w:lvlJc w:val="left"/>
      <w:lvlText w:val="(%1)"/>
      <w:numFmt w:val="lowerRoman"/>
      <w:start w:val="3"/>
    </w:lvl>
  </w:abstractNum>
  <w:abstractNum w:abstractNumId="55">
    <w:nsid w:val="354FE9F9"/>
    <w:multiLevelType w:val="hybridMultilevel"/>
    <w:lvl w:ilvl="0">
      <w:lvlJc w:val="left"/>
      <w:lvlText w:val="(%1)"/>
      <w:numFmt w:val="lowerRoman"/>
      <w:start w:val="6"/>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lowerRoman"/>
      <w:start w:val="4"/>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bullet"/>
      <w:start w:val="1"/>
    </w:lvl>
  </w:abstractNum>
  <w:abstractNum w:abstractNumId="60">
    <w:nsid w:val="3F6AB60F"/>
    <w:multiLevelType w:val="hybridMultilevel"/>
    <w:lvl w:ilvl="0">
      <w:lvlJc w:val="left"/>
      <w:lvlText w:val="2"/>
      <w:numFmt w:val="bullet"/>
      <w:start w:val="1"/>
    </w:lvl>
  </w:abstractNum>
  <w:abstractNum w:abstractNumId="61">
    <w:nsid w:val="61574095"/>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jpe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jpe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jpe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jpe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jpe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6"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28" Type="http://schemas.openxmlformats.org/officeDocument/2006/relationships/hyperlink" Target="http://www.sec.gov/ix?doc=/Archives/edgar/data/1835597/000119312526091536/pepg-20251231.htm" TargetMode="External"/><Relationship Id="rId29" Type="http://schemas.openxmlformats.org/officeDocument/2006/relationships/hyperlink" Target="http://www.sec.gov/ix?doc=/Archives/edgar/data/1835597/000119312526219375/pepg-20260331.htm" TargetMode="External"/><Relationship Id="rId30" Type="http://schemas.openxmlformats.org/officeDocument/2006/relationships/hyperlink" Target="http://www.sec.gov/ix?doc=/Archives/edgar/data/1835597/000119312526091784/pepg-20260304.htm" TargetMode="External"/><Relationship Id="rId31" Type="http://schemas.openxmlformats.org/officeDocument/2006/relationships/hyperlink" Target="http://www.sec.gov/ix?doc=/Archives/edgar/data/1835597/000119312526131786/pepg-20260330.htm" TargetMode="External"/><Relationship Id="rId32" Type="http://schemas.openxmlformats.org/officeDocument/2006/relationships/hyperlink" Target="http://www.sec.gov/ix?doc=/Archives/edgar/data/0001835597/000119312526186927/pepg-20260428.htm" TargetMode="External"/><Relationship Id="rId33" Type="http://schemas.openxmlformats.org/officeDocument/2006/relationships/hyperlink" Target="http://www.sec.gov/ix?doc=/Archives/edgar/data/0001835597/000119312526091536/pepg-20251231.htm" TargetMode="External"/><Relationship Id="rId34" Type="http://schemas.openxmlformats.org/officeDocument/2006/relationships/hyperlink" Target="http://www.sec.gov/Archives/edgar/data/1835597/000119312522138814/d362030d8a12b.htm" TargetMode="External"/><Relationship Id="rId35" Type="http://schemas.openxmlformats.org/officeDocument/2006/relationships/hyperlink" Target="http://www.sec.gov/Archives/edgar/data/1835597/000095017023009500/pepg-ex4_3.htm" TargetMode="External"/><Relationship Id="rId100" Type="http://schemas.openxmlformats.org/officeDocument/2006/relationships/hyperlink" Target="http://www.sec.gov/ix?doc=/Archives/edgar/data/1835597/000119312526186927/pepg-20260428.htm" TargetMode="External"/><Relationship Id="rId114" Type="http://schemas.openxmlformats.org/officeDocument/2006/relationships/hyperlink" Target="http://www.sec.gov/Archives/edgar/data/1835597/000095017022011719/pepg-ex3_1.htm" TargetMode="External"/><Relationship Id="rId115" Type="http://schemas.openxmlformats.org/officeDocument/2006/relationships/hyperlink" Target="http://www.sec.gov/Archives/edgar/data/1835597/000095017022024186/pepg-ex3_2.htm" TargetMode="External"/><Relationship Id="rId117" Type="http://schemas.openxmlformats.org/officeDocument/2006/relationships/hyperlink" Target="http://www.sec.gov/Archives/edgar/data/1835597/000119312524164587/d660943dex31.htm" TargetMode="External"/><Relationship Id="rId118" Type="http://schemas.openxmlformats.org/officeDocument/2006/relationships/hyperlink" Target="http://www.sec.gov/Archives/edgar/data/1835597/000119312524069110/d810119dex31.htm" TargetMode="External"/><Relationship Id="rId119" Type="http://schemas.openxmlformats.org/officeDocument/2006/relationships/hyperlink" Target="http://www.sec.gov/Archives/edgar/data/1835597/000119312522106884/d235586dex41.htm" TargetMode="External"/><Relationship Id="rId120" Type="http://schemas.openxmlformats.org/officeDocument/2006/relationships/hyperlink" Target="http://www.sec.gov/Archives/edgar/data/1835597/000119312522135245/d235586dex42.htm" TargetMode="External"/><Relationship Id="rId121" Type="http://schemas.openxmlformats.org/officeDocument/2006/relationships/hyperlink" Target="http://www.sec.gov/Archives/edgar/data/1835597/000119312524172235/d860201dex44.htm" TargetMode="External"/><Relationship Id="rId122" Type="http://schemas.openxmlformats.org/officeDocument/2006/relationships/hyperlink" Target="http://www.sec.gov/Archives/edgar/data/1835597/000119312524172235/d860201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2026-05-19T11:05:39Z</dcterms:created>
  <dcterms:modified xsi:type="dcterms:W3CDTF">2026-05-19T11:05:39Z</dcterms:modified>
</cp:coreProperties>
</file>